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2E76A" w14:textId="77777777" w:rsidR="0088680A" w:rsidRPr="00EE1C60" w:rsidRDefault="0088680A" w:rsidP="00EE1C60">
      <w:pPr>
        <w:spacing w:after="0" w:line="240" w:lineRule="auto"/>
        <w:rPr>
          <w:rFonts w:cs="Times New Roman"/>
          <w:sz w:val="22"/>
        </w:rPr>
      </w:pPr>
    </w:p>
    <w:tbl>
      <w:tblPr>
        <w:tblStyle w:val="Tabela-Siatka"/>
        <w:tblpPr w:leftFromText="141" w:rightFromText="141" w:vertAnchor="text" w:tblpX="-431" w:tblpY="1"/>
        <w:tblOverlap w:val="never"/>
        <w:tblW w:w="14309" w:type="dxa"/>
        <w:tblLook w:val="04A0" w:firstRow="1" w:lastRow="0" w:firstColumn="1" w:lastColumn="0" w:noHBand="0" w:noVBand="1"/>
      </w:tblPr>
      <w:tblGrid>
        <w:gridCol w:w="830"/>
        <w:gridCol w:w="1682"/>
        <w:gridCol w:w="1736"/>
        <w:gridCol w:w="5437"/>
        <w:gridCol w:w="4624"/>
      </w:tblGrid>
      <w:tr w:rsidR="0004003F" w:rsidRPr="00EE1C60" w14:paraId="606905A3" w14:textId="77777777" w:rsidTr="001D2343">
        <w:trPr>
          <w:trHeight w:val="550"/>
          <w:tblHeader/>
        </w:trPr>
        <w:tc>
          <w:tcPr>
            <w:tcW w:w="14309" w:type="dxa"/>
            <w:gridSpan w:val="5"/>
            <w:shd w:val="clear" w:color="auto" w:fill="D5DCE4" w:themeFill="text2" w:themeFillTint="33"/>
          </w:tcPr>
          <w:p w14:paraId="0CC2B384" w14:textId="19CF7503" w:rsidR="0088680A" w:rsidRPr="00EE1C60" w:rsidRDefault="0088680A" w:rsidP="00EE1C60">
            <w:pPr>
              <w:jc w:val="center"/>
              <w:rPr>
                <w:rFonts w:cs="Times New Roman"/>
                <w:b/>
                <w:bCs/>
                <w:sz w:val="22"/>
              </w:rPr>
            </w:pPr>
          </w:p>
          <w:p w14:paraId="3AE8DFB0" w14:textId="344823C0" w:rsidR="005178F6" w:rsidRPr="00EE1C60" w:rsidRDefault="00DA161A" w:rsidP="00EE1C60">
            <w:pPr>
              <w:jc w:val="center"/>
              <w:rPr>
                <w:rFonts w:cs="Times New Roman"/>
                <w:b/>
                <w:bCs/>
                <w:sz w:val="22"/>
              </w:rPr>
            </w:pPr>
            <w:r>
              <w:rPr>
                <w:rFonts w:cs="Times New Roman"/>
                <w:b/>
                <w:bCs/>
                <w:sz w:val="22"/>
              </w:rPr>
              <w:t>Nieuwzględnione u</w:t>
            </w:r>
            <w:r w:rsidR="005178F6" w:rsidRPr="00EE1C60">
              <w:rPr>
                <w:rFonts w:cs="Times New Roman"/>
                <w:b/>
                <w:bCs/>
                <w:sz w:val="22"/>
              </w:rPr>
              <w:t>wagi</w:t>
            </w:r>
            <w:r w:rsidR="00E540EF" w:rsidRPr="00EE1C60">
              <w:rPr>
                <w:rFonts w:cs="Times New Roman"/>
                <w:b/>
                <w:bCs/>
                <w:sz w:val="22"/>
              </w:rPr>
              <w:t xml:space="preserve"> zgłoszon</w:t>
            </w:r>
            <w:r w:rsidR="005178F6" w:rsidRPr="00EE1C60">
              <w:rPr>
                <w:rFonts w:cs="Times New Roman"/>
                <w:b/>
                <w:bCs/>
                <w:sz w:val="22"/>
              </w:rPr>
              <w:t>e</w:t>
            </w:r>
            <w:r w:rsidR="00E540EF" w:rsidRPr="00EE1C60">
              <w:rPr>
                <w:rFonts w:cs="Times New Roman"/>
                <w:b/>
                <w:bCs/>
                <w:sz w:val="22"/>
              </w:rPr>
              <w:t xml:space="preserve"> w </w:t>
            </w:r>
            <w:r w:rsidR="005178F6" w:rsidRPr="00EE1C60">
              <w:rPr>
                <w:rFonts w:cs="Times New Roman"/>
                <w:b/>
                <w:bCs/>
                <w:sz w:val="22"/>
              </w:rPr>
              <w:t xml:space="preserve">ramach opiniowania </w:t>
            </w:r>
          </w:p>
          <w:p w14:paraId="4D5D0755" w14:textId="46E46E03" w:rsidR="00E540EF" w:rsidRPr="00EE1C60" w:rsidRDefault="00E540EF" w:rsidP="00EE1C60">
            <w:pPr>
              <w:jc w:val="center"/>
              <w:rPr>
                <w:rFonts w:cs="Times New Roman"/>
                <w:b/>
                <w:bCs/>
                <w:sz w:val="22"/>
              </w:rPr>
            </w:pPr>
            <w:r w:rsidRPr="00EE1C60">
              <w:rPr>
                <w:rFonts w:cs="Times New Roman"/>
                <w:b/>
                <w:bCs/>
                <w:sz w:val="22"/>
              </w:rPr>
              <w:t>do projektu rozporządzenia</w:t>
            </w:r>
            <w:r w:rsidR="005178F6" w:rsidRPr="00EE1C60">
              <w:rPr>
                <w:rFonts w:cs="Times New Roman"/>
                <w:b/>
                <w:bCs/>
                <w:sz w:val="22"/>
              </w:rPr>
              <w:t xml:space="preserve"> </w:t>
            </w:r>
            <w:r w:rsidRPr="00EE1C60">
              <w:rPr>
                <w:rFonts w:cs="Times New Roman"/>
                <w:b/>
                <w:bCs/>
                <w:sz w:val="22"/>
              </w:rPr>
              <w:t xml:space="preserve">Ministra Sprawiedliwości </w:t>
            </w:r>
            <w:r w:rsidR="001721F2" w:rsidRPr="00EE1C60">
              <w:rPr>
                <w:rFonts w:cs="Times New Roman"/>
                <w:b/>
                <w:bCs/>
                <w:sz w:val="22"/>
              </w:rPr>
              <w:t xml:space="preserve">w sprawie określenia trybu i sposobu wnoszenia pism procesowych w postaci elektronicznej za pośrednictwem portalu informacyjnego </w:t>
            </w:r>
            <w:r w:rsidR="0063541E" w:rsidRPr="00EE1C60">
              <w:rPr>
                <w:rFonts w:cs="Times New Roman"/>
                <w:b/>
                <w:bCs/>
                <w:sz w:val="22"/>
              </w:rPr>
              <w:t xml:space="preserve">w postępowaniu karnym </w:t>
            </w:r>
            <w:r w:rsidR="00950E3B" w:rsidRPr="00EE1C60">
              <w:rPr>
                <w:rFonts w:cs="Times New Roman"/>
                <w:b/>
                <w:bCs/>
                <w:sz w:val="22"/>
              </w:rPr>
              <w:t>(</w:t>
            </w:r>
            <w:r w:rsidR="001721F2" w:rsidRPr="00EE1C60">
              <w:rPr>
                <w:rFonts w:cs="Times New Roman"/>
                <w:b/>
                <w:bCs/>
                <w:sz w:val="22"/>
              </w:rPr>
              <w:t>A544</w:t>
            </w:r>
            <w:r w:rsidR="00950E3B" w:rsidRPr="00EE1C60">
              <w:rPr>
                <w:rFonts w:cs="Times New Roman"/>
                <w:b/>
                <w:bCs/>
                <w:sz w:val="22"/>
              </w:rPr>
              <w:t>)</w:t>
            </w:r>
          </w:p>
          <w:p w14:paraId="35678BC0" w14:textId="246D8D38" w:rsidR="000B4394" w:rsidRPr="00EE1C60" w:rsidRDefault="000B4394" w:rsidP="00EE1C60">
            <w:pPr>
              <w:rPr>
                <w:rFonts w:cs="Times New Roman"/>
                <w:b/>
                <w:bCs/>
                <w:sz w:val="22"/>
              </w:rPr>
            </w:pPr>
          </w:p>
        </w:tc>
      </w:tr>
      <w:tr w:rsidR="007F33FA" w:rsidRPr="00EE1C60" w14:paraId="0D68A99B" w14:textId="77777777" w:rsidTr="005178F6">
        <w:trPr>
          <w:trHeight w:val="704"/>
          <w:tblHeader/>
        </w:trPr>
        <w:tc>
          <w:tcPr>
            <w:tcW w:w="830" w:type="dxa"/>
            <w:shd w:val="clear" w:color="auto" w:fill="D5DCE4" w:themeFill="text2" w:themeFillTint="33"/>
          </w:tcPr>
          <w:p w14:paraId="71A1D649" w14:textId="77777777" w:rsidR="0088680A" w:rsidRPr="00EE1C60" w:rsidRDefault="0088680A" w:rsidP="00EE1C60">
            <w:pPr>
              <w:jc w:val="center"/>
              <w:rPr>
                <w:rFonts w:cs="Times New Roman"/>
                <w:b/>
                <w:bCs/>
                <w:sz w:val="22"/>
              </w:rPr>
            </w:pPr>
          </w:p>
          <w:p w14:paraId="380A2398" w14:textId="445D4733" w:rsidR="007F33FA" w:rsidRPr="00EE1C60" w:rsidRDefault="007F33FA" w:rsidP="00EE1C60">
            <w:pPr>
              <w:jc w:val="center"/>
              <w:rPr>
                <w:rFonts w:cs="Times New Roman"/>
                <w:b/>
                <w:bCs/>
                <w:sz w:val="22"/>
              </w:rPr>
            </w:pPr>
            <w:r w:rsidRPr="00EE1C60">
              <w:rPr>
                <w:rFonts w:cs="Times New Roman"/>
                <w:b/>
                <w:bCs/>
                <w:sz w:val="22"/>
              </w:rPr>
              <w:t>Lp.</w:t>
            </w:r>
          </w:p>
        </w:tc>
        <w:tc>
          <w:tcPr>
            <w:tcW w:w="1682" w:type="dxa"/>
            <w:shd w:val="clear" w:color="auto" w:fill="D5DCE4" w:themeFill="text2" w:themeFillTint="33"/>
          </w:tcPr>
          <w:p w14:paraId="15E536C8" w14:textId="77777777" w:rsidR="005178F6" w:rsidRPr="00EE1C60" w:rsidRDefault="005178F6" w:rsidP="00EE1C60">
            <w:pPr>
              <w:jc w:val="center"/>
              <w:rPr>
                <w:rFonts w:cs="Times New Roman"/>
                <w:b/>
                <w:bCs/>
                <w:sz w:val="22"/>
              </w:rPr>
            </w:pPr>
          </w:p>
          <w:p w14:paraId="50D01F5E" w14:textId="75854CEE" w:rsidR="007F33FA" w:rsidRPr="00EE1C60" w:rsidRDefault="005178F6" w:rsidP="00EE1C60">
            <w:pPr>
              <w:jc w:val="center"/>
              <w:rPr>
                <w:rFonts w:cs="Times New Roman"/>
                <w:b/>
                <w:bCs/>
                <w:sz w:val="22"/>
              </w:rPr>
            </w:pPr>
            <w:r w:rsidRPr="00EE1C60">
              <w:rPr>
                <w:rFonts w:cs="Times New Roman"/>
                <w:b/>
                <w:bCs/>
                <w:sz w:val="22"/>
              </w:rPr>
              <w:t>Przepis</w:t>
            </w:r>
          </w:p>
          <w:p w14:paraId="78044ED7" w14:textId="77777777" w:rsidR="0088680A" w:rsidRPr="00EE1C60" w:rsidRDefault="0088680A" w:rsidP="00EE1C60">
            <w:pPr>
              <w:jc w:val="center"/>
              <w:rPr>
                <w:rFonts w:cs="Times New Roman"/>
                <w:b/>
                <w:bCs/>
                <w:sz w:val="22"/>
              </w:rPr>
            </w:pPr>
          </w:p>
        </w:tc>
        <w:tc>
          <w:tcPr>
            <w:tcW w:w="1736" w:type="dxa"/>
            <w:shd w:val="clear" w:color="auto" w:fill="D5DCE4" w:themeFill="text2" w:themeFillTint="33"/>
          </w:tcPr>
          <w:p w14:paraId="489CE32D" w14:textId="5B503B61" w:rsidR="007F33FA" w:rsidRPr="00EE1C60" w:rsidRDefault="007F33FA" w:rsidP="00EE1C60">
            <w:pPr>
              <w:jc w:val="center"/>
              <w:rPr>
                <w:rFonts w:cs="Times New Roman"/>
                <w:b/>
                <w:bCs/>
                <w:sz w:val="22"/>
              </w:rPr>
            </w:pPr>
            <w:r w:rsidRPr="00EE1C60">
              <w:rPr>
                <w:rFonts w:cs="Times New Roman"/>
                <w:b/>
                <w:bCs/>
                <w:sz w:val="22"/>
              </w:rPr>
              <w:t>Podmiot zgłaszający uwagę</w:t>
            </w:r>
          </w:p>
        </w:tc>
        <w:tc>
          <w:tcPr>
            <w:tcW w:w="5437" w:type="dxa"/>
            <w:shd w:val="clear" w:color="auto" w:fill="D5DCE4" w:themeFill="text2" w:themeFillTint="33"/>
          </w:tcPr>
          <w:p w14:paraId="1A7DF941" w14:textId="77777777" w:rsidR="0088680A" w:rsidRPr="00EE1C60" w:rsidRDefault="0088680A" w:rsidP="00EE1C60">
            <w:pPr>
              <w:jc w:val="center"/>
              <w:rPr>
                <w:rFonts w:cs="Times New Roman"/>
                <w:b/>
                <w:bCs/>
                <w:sz w:val="22"/>
              </w:rPr>
            </w:pPr>
          </w:p>
          <w:p w14:paraId="45C402D3" w14:textId="7802B245" w:rsidR="007F33FA" w:rsidRPr="00EE1C60" w:rsidRDefault="007F33FA" w:rsidP="00EE1C60">
            <w:pPr>
              <w:jc w:val="center"/>
              <w:rPr>
                <w:rFonts w:cs="Times New Roman"/>
                <w:b/>
                <w:bCs/>
                <w:sz w:val="22"/>
              </w:rPr>
            </w:pPr>
            <w:r w:rsidRPr="00EE1C60">
              <w:rPr>
                <w:rFonts w:cs="Times New Roman"/>
                <w:b/>
                <w:bCs/>
                <w:sz w:val="22"/>
              </w:rPr>
              <w:t>Treść uwagi</w:t>
            </w:r>
          </w:p>
        </w:tc>
        <w:tc>
          <w:tcPr>
            <w:tcW w:w="4624" w:type="dxa"/>
            <w:shd w:val="clear" w:color="auto" w:fill="D5DCE4" w:themeFill="text2" w:themeFillTint="33"/>
          </w:tcPr>
          <w:p w14:paraId="5DC03ABF" w14:textId="77777777" w:rsidR="0088680A" w:rsidRPr="00EE1C60" w:rsidRDefault="0088680A" w:rsidP="00EE1C60">
            <w:pPr>
              <w:jc w:val="center"/>
              <w:rPr>
                <w:rFonts w:cs="Times New Roman"/>
                <w:b/>
                <w:bCs/>
                <w:color w:val="FF0000"/>
                <w:sz w:val="22"/>
              </w:rPr>
            </w:pPr>
          </w:p>
          <w:p w14:paraId="0BAD2B74" w14:textId="618879D3" w:rsidR="007F33FA" w:rsidRPr="00EE1C60" w:rsidRDefault="007F33FA" w:rsidP="00EE1C60">
            <w:pPr>
              <w:jc w:val="center"/>
              <w:rPr>
                <w:rFonts w:cs="Times New Roman"/>
                <w:b/>
                <w:bCs/>
                <w:color w:val="FF0000"/>
                <w:sz w:val="22"/>
              </w:rPr>
            </w:pPr>
            <w:r w:rsidRPr="00EE1C60">
              <w:rPr>
                <w:rFonts w:cs="Times New Roman"/>
                <w:b/>
                <w:bCs/>
                <w:sz w:val="22"/>
              </w:rPr>
              <w:t>Stanowisko</w:t>
            </w:r>
            <w:r w:rsidR="00672E69" w:rsidRPr="00EE1C60">
              <w:rPr>
                <w:rFonts w:cs="Times New Roman"/>
                <w:b/>
                <w:bCs/>
                <w:sz w:val="22"/>
              </w:rPr>
              <w:t xml:space="preserve"> </w:t>
            </w:r>
            <w:r w:rsidR="005178F6" w:rsidRPr="00EE1C60">
              <w:rPr>
                <w:rFonts w:cs="Times New Roman"/>
                <w:b/>
                <w:bCs/>
                <w:sz w:val="22"/>
              </w:rPr>
              <w:t>MS</w:t>
            </w:r>
          </w:p>
        </w:tc>
      </w:tr>
      <w:tr w:rsidR="00672E69" w:rsidRPr="00EE1C60" w14:paraId="45007B99" w14:textId="77777777" w:rsidTr="005178F6">
        <w:trPr>
          <w:trHeight w:val="1098"/>
        </w:trPr>
        <w:tc>
          <w:tcPr>
            <w:tcW w:w="830" w:type="dxa"/>
          </w:tcPr>
          <w:p w14:paraId="0EE517E5" w14:textId="18C9C9B9" w:rsidR="00672E69" w:rsidRPr="009A0263" w:rsidRDefault="00672E69" w:rsidP="009A0263">
            <w:pPr>
              <w:pStyle w:val="Akapitzlist"/>
              <w:numPr>
                <w:ilvl w:val="0"/>
                <w:numId w:val="4"/>
              </w:numPr>
              <w:tabs>
                <w:tab w:val="left" w:pos="360"/>
              </w:tabs>
              <w:jc w:val="center"/>
              <w:rPr>
                <w:rFonts w:cs="Times New Roman"/>
                <w:sz w:val="22"/>
              </w:rPr>
            </w:pPr>
          </w:p>
        </w:tc>
        <w:tc>
          <w:tcPr>
            <w:tcW w:w="1682" w:type="dxa"/>
          </w:tcPr>
          <w:p w14:paraId="05D263CB" w14:textId="5B145A45" w:rsidR="001721F2" w:rsidRPr="00EE1C60" w:rsidRDefault="00EC1FF8" w:rsidP="00EE1C60">
            <w:pPr>
              <w:jc w:val="center"/>
              <w:rPr>
                <w:rFonts w:cs="Times New Roman"/>
                <w:sz w:val="22"/>
              </w:rPr>
            </w:pPr>
            <w:r w:rsidRPr="00EE1C60">
              <w:rPr>
                <w:rFonts w:cs="Times New Roman"/>
                <w:sz w:val="22"/>
              </w:rPr>
              <w:t xml:space="preserve">§ 2 pkt 4 </w:t>
            </w:r>
          </w:p>
        </w:tc>
        <w:tc>
          <w:tcPr>
            <w:tcW w:w="1736" w:type="dxa"/>
          </w:tcPr>
          <w:p w14:paraId="734B0DAD" w14:textId="08063A8F" w:rsidR="001721F2" w:rsidRPr="00EE1C60" w:rsidRDefault="00EC1FF8" w:rsidP="00EE1C60">
            <w:pPr>
              <w:rPr>
                <w:rFonts w:cs="Times New Roman"/>
                <w:sz w:val="22"/>
              </w:rPr>
            </w:pPr>
            <w:r w:rsidRPr="00EE1C60">
              <w:rPr>
                <w:rFonts w:cs="Times New Roman"/>
                <w:sz w:val="22"/>
              </w:rPr>
              <w:t>Prokuratoria Generalna RP</w:t>
            </w:r>
          </w:p>
        </w:tc>
        <w:tc>
          <w:tcPr>
            <w:tcW w:w="5437" w:type="dxa"/>
          </w:tcPr>
          <w:p w14:paraId="62F2C0C8" w14:textId="740AC4D2"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„użytkownik konta”,</w:t>
            </w:r>
            <w:r w:rsidRPr="00EE1C60">
              <w:rPr>
                <w:rFonts w:cs="Times New Roman"/>
                <w:sz w:val="22"/>
              </w:rPr>
              <w:t xml:space="preserve"> </w:t>
            </w:r>
            <w:r w:rsidR="00EC1FF8" w:rsidRPr="00EE1C60">
              <w:rPr>
                <w:rFonts w:cs="Times New Roman"/>
                <w:sz w:val="22"/>
              </w:rPr>
              <w:t>ponieważ przepisy Kodeksu postępowania karnego wskazują, że podmiotem</w:t>
            </w:r>
            <w:r w:rsidRPr="00EE1C60">
              <w:rPr>
                <w:rFonts w:cs="Times New Roman"/>
                <w:sz w:val="22"/>
              </w:rPr>
              <w:t xml:space="preserve"> </w:t>
            </w:r>
            <w:r w:rsidR="00EC1FF8" w:rsidRPr="00EE1C60">
              <w:rPr>
                <w:rFonts w:cs="Times New Roman"/>
                <w:sz w:val="22"/>
              </w:rPr>
              <w:t>wykonującym czynności procesowe, w tym składającym pisma przez umieszczenie ich</w:t>
            </w:r>
            <w:r w:rsidRPr="00EE1C60">
              <w:rPr>
                <w:rFonts w:cs="Times New Roman"/>
                <w:sz w:val="22"/>
              </w:rPr>
              <w:t xml:space="preserve"> </w:t>
            </w:r>
            <w:r w:rsidR="00EC1FF8" w:rsidRPr="00EE1C60">
              <w:rPr>
                <w:rFonts w:cs="Times New Roman"/>
                <w:sz w:val="22"/>
              </w:rPr>
              <w:t xml:space="preserve">treści w portalu informacyjnym, jest PGRP (art. 88 § 2, art. 422 § 1b, art. 428 § 3 </w:t>
            </w:r>
            <w:r w:rsidR="0033450F" w:rsidRPr="00EE1C60">
              <w:rPr>
                <w:rFonts w:cs="Times New Roman"/>
                <w:sz w:val="22"/>
              </w:rPr>
              <w:t>k.p.k.</w:t>
            </w:r>
            <w:r w:rsidR="00EC1FF8" w:rsidRPr="00EE1C60">
              <w:rPr>
                <w:rFonts w:cs="Times New Roman"/>
                <w:sz w:val="22"/>
              </w:rPr>
              <w:t>). Nie</w:t>
            </w:r>
            <w:r w:rsidRPr="00EE1C60">
              <w:rPr>
                <w:rFonts w:cs="Times New Roman"/>
                <w:sz w:val="22"/>
              </w:rPr>
              <w:t xml:space="preserve"> </w:t>
            </w:r>
            <w:r w:rsidR="00EC1FF8" w:rsidRPr="00EE1C60">
              <w:rPr>
                <w:rFonts w:cs="Times New Roman"/>
                <w:sz w:val="22"/>
              </w:rPr>
              <w:t>jest możliwe przyjęcie na poziomie aktu wykonawczego, że podmiotem tym jest radca</w:t>
            </w:r>
            <w:r w:rsidRPr="00EE1C60">
              <w:rPr>
                <w:rFonts w:cs="Times New Roman"/>
                <w:sz w:val="22"/>
              </w:rPr>
              <w:t xml:space="preserve"> </w:t>
            </w:r>
            <w:r w:rsidR="00EC1FF8" w:rsidRPr="00EE1C60">
              <w:rPr>
                <w:rFonts w:cs="Times New Roman"/>
                <w:sz w:val="22"/>
              </w:rPr>
              <w:t>PGRP, a taki byłby skutek treści § 2 pkt 4, 6 i 12 oraz § 3 ust. 1 projektu. Analiza projektu</w:t>
            </w:r>
            <w:r w:rsidRPr="00EE1C60">
              <w:rPr>
                <w:rFonts w:cs="Times New Roman"/>
                <w:sz w:val="22"/>
              </w:rPr>
              <w:t xml:space="preserve"> </w:t>
            </w:r>
            <w:r w:rsidR="00EC1FF8" w:rsidRPr="00EE1C60">
              <w:rPr>
                <w:rFonts w:cs="Times New Roman"/>
                <w:sz w:val="22"/>
              </w:rPr>
              <w:t>wskazuje, że ta definicja jest zbędna dla regulowanej materii. W konsekwencji rezygnacji</w:t>
            </w:r>
            <w:r w:rsidRPr="00EE1C60">
              <w:rPr>
                <w:rFonts w:cs="Times New Roman"/>
                <w:sz w:val="22"/>
              </w:rPr>
              <w:t xml:space="preserve"> </w:t>
            </w:r>
            <w:r w:rsidR="00EC1FF8" w:rsidRPr="00EE1C60">
              <w:rPr>
                <w:rFonts w:cs="Times New Roman"/>
                <w:sz w:val="22"/>
              </w:rPr>
              <w:t>z tej definicji proponujemy:</w:t>
            </w:r>
          </w:p>
          <w:p w14:paraId="20B0AE2B" w14:textId="41393C68" w:rsidR="00EC1FF8" w:rsidRPr="00EE1C60" w:rsidRDefault="00EC1FF8" w:rsidP="00EE1C60">
            <w:pPr>
              <w:autoSpaceDE w:val="0"/>
              <w:autoSpaceDN w:val="0"/>
              <w:adjustRightInd w:val="0"/>
              <w:jc w:val="both"/>
              <w:rPr>
                <w:rFonts w:cs="Times New Roman"/>
                <w:sz w:val="22"/>
              </w:rPr>
            </w:pPr>
            <w:r w:rsidRPr="00EE1C60">
              <w:rPr>
                <w:rFonts w:cs="Times New Roman"/>
                <w:sz w:val="22"/>
              </w:rPr>
              <w:t>a) skreślenie wyrazów „przez użytkownika konta” w definicji pojęcia „wniesienie pisma”</w:t>
            </w:r>
            <w:r w:rsidR="00D96EF1" w:rsidRPr="00EE1C60">
              <w:rPr>
                <w:rFonts w:cs="Times New Roman"/>
                <w:sz w:val="22"/>
              </w:rPr>
              <w:t xml:space="preserve"> </w:t>
            </w:r>
            <w:r w:rsidRPr="00EE1C60">
              <w:rPr>
                <w:rFonts w:cs="Times New Roman"/>
                <w:sz w:val="22"/>
              </w:rPr>
              <w:t>(§ 2 pkt 6 projektu) – wyrazy te są zbędne także niezależnie od uwagi nr 1, ponieważ</w:t>
            </w:r>
            <w:r w:rsidR="00D96EF1" w:rsidRPr="00EE1C60">
              <w:rPr>
                <w:rFonts w:cs="Times New Roman"/>
                <w:sz w:val="22"/>
              </w:rPr>
              <w:t xml:space="preserve"> </w:t>
            </w:r>
            <w:r w:rsidRPr="00EE1C60">
              <w:rPr>
                <w:rFonts w:cs="Times New Roman"/>
                <w:sz w:val="22"/>
              </w:rPr>
              <w:t>przepisy aktu wykonawczego nie powinny ingerować w organizację procesu wysyłki</w:t>
            </w:r>
            <w:r w:rsidR="00D96EF1" w:rsidRPr="00EE1C60">
              <w:rPr>
                <w:rFonts w:cs="Times New Roman"/>
                <w:sz w:val="22"/>
              </w:rPr>
              <w:t xml:space="preserve"> </w:t>
            </w:r>
            <w:r w:rsidRPr="00EE1C60">
              <w:rPr>
                <w:rFonts w:cs="Times New Roman"/>
                <w:sz w:val="22"/>
              </w:rPr>
              <w:t>pism przez poszczególne podmioty,</w:t>
            </w:r>
          </w:p>
          <w:p w14:paraId="3701F0A0" w14:textId="021B457F" w:rsidR="00EC1FF8" w:rsidRPr="00EE1C60" w:rsidRDefault="00EC1FF8" w:rsidP="00EE1C60">
            <w:pPr>
              <w:autoSpaceDE w:val="0"/>
              <w:autoSpaceDN w:val="0"/>
              <w:adjustRightInd w:val="0"/>
              <w:jc w:val="both"/>
              <w:rPr>
                <w:rFonts w:cs="Times New Roman"/>
                <w:sz w:val="22"/>
              </w:rPr>
            </w:pPr>
            <w:r w:rsidRPr="00EE1C60">
              <w:rPr>
                <w:rFonts w:cs="Times New Roman"/>
                <w:sz w:val="22"/>
              </w:rPr>
              <w:t>b) skreślenie wyrazów „przez użytkownika konta” w</w:t>
            </w:r>
            <w:r w:rsidR="003B1C38" w:rsidRPr="00EE1C60">
              <w:rPr>
                <w:rFonts w:cs="Times New Roman"/>
                <w:sz w:val="22"/>
              </w:rPr>
              <w:t>e</w:t>
            </w:r>
            <w:r w:rsidRPr="00EE1C60">
              <w:rPr>
                <w:rFonts w:cs="Times New Roman"/>
                <w:sz w:val="22"/>
              </w:rPr>
              <w:t xml:space="preserve"> wprowadzeniu do wyliczenia</w:t>
            </w:r>
            <w:r w:rsidR="00D96EF1" w:rsidRPr="00EE1C60">
              <w:rPr>
                <w:rFonts w:cs="Times New Roman"/>
                <w:sz w:val="22"/>
              </w:rPr>
              <w:t xml:space="preserve"> </w:t>
            </w:r>
            <w:r w:rsidRPr="00EE1C60">
              <w:rPr>
                <w:rFonts w:cs="Times New Roman"/>
                <w:sz w:val="22"/>
              </w:rPr>
              <w:t>w § 3 [ust. 1] projektu – wyrazy te są zbędne także niezależnie od uwagi nr 1,</w:t>
            </w:r>
          </w:p>
          <w:p w14:paraId="2158A920" w14:textId="3B397A73" w:rsidR="001721F2" w:rsidRPr="00EE1C60" w:rsidRDefault="00EC1FF8" w:rsidP="00EE1C60">
            <w:pPr>
              <w:autoSpaceDE w:val="0"/>
              <w:autoSpaceDN w:val="0"/>
              <w:adjustRightInd w:val="0"/>
              <w:jc w:val="both"/>
              <w:rPr>
                <w:rFonts w:cs="Times New Roman"/>
                <w:sz w:val="22"/>
              </w:rPr>
            </w:pPr>
            <w:r w:rsidRPr="00EE1C60">
              <w:rPr>
                <w:rFonts w:cs="Times New Roman"/>
                <w:sz w:val="22"/>
              </w:rPr>
              <w:t>ponieważ nie ma potrzeby doprecyzowywania na poziomie rozporządzenia, kto ma</w:t>
            </w:r>
            <w:r w:rsidR="00D96EF1" w:rsidRPr="00EE1C60">
              <w:rPr>
                <w:rFonts w:cs="Times New Roman"/>
                <w:sz w:val="22"/>
              </w:rPr>
              <w:t xml:space="preserve"> </w:t>
            </w:r>
            <w:r w:rsidRPr="00EE1C60">
              <w:rPr>
                <w:rFonts w:cs="Times New Roman"/>
                <w:sz w:val="22"/>
              </w:rPr>
              <w:t>obowiązek wnoszenia pism za pośrednictwem portalu, dlatego że wynika to wprost</w:t>
            </w:r>
            <w:r w:rsidR="00D96EF1" w:rsidRPr="00EE1C60">
              <w:rPr>
                <w:rFonts w:cs="Times New Roman"/>
                <w:sz w:val="22"/>
              </w:rPr>
              <w:t xml:space="preserve"> </w:t>
            </w:r>
            <w:r w:rsidRPr="00EE1C60">
              <w:rPr>
                <w:rFonts w:cs="Times New Roman"/>
                <w:sz w:val="22"/>
              </w:rPr>
              <w:t>z ustawy</w:t>
            </w:r>
            <w:r w:rsidR="00D96EF1" w:rsidRPr="00EE1C60">
              <w:rPr>
                <w:rFonts w:cs="Times New Roman"/>
                <w:sz w:val="22"/>
              </w:rPr>
              <w:t>.</w:t>
            </w:r>
          </w:p>
        </w:tc>
        <w:tc>
          <w:tcPr>
            <w:tcW w:w="4624" w:type="dxa"/>
          </w:tcPr>
          <w:p w14:paraId="4F4D527A" w14:textId="63794EFC" w:rsidR="001721F2" w:rsidRPr="00EE1C60" w:rsidRDefault="004D764D"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częściowo uwzględniona. </w:t>
            </w:r>
          </w:p>
          <w:p w14:paraId="56E779DB" w14:textId="77777777" w:rsidR="00F273CC" w:rsidRPr="00EE1C60" w:rsidRDefault="00F273C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Definicja ustalająca znaczenie określenia „użytkownik konta” została sformułowana w projekcie rozporządzenia Ministra Sprawiedliwości w sprawie portalu informacyjnego (B937), w którym wskazano, że przez to określenie rozumie się osobę fizyczną, dla której założono konto w portalu informacyjnym. </w:t>
            </w:r>
          </w:p>
          <w:p w14:paraId="3BDC4B9A" w14:textId="77777777" w:rsidR="00F273CC" w:rsidRPr="00EE1C60" w:rsidRDefault="00F273C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Mając powyższe na uwadze, w związku z koniecznością zachowania spójności terminologicznej, zmieniono zamieszczoną w projekcie (A544) definicję określenia „użytkownik konta” przez odesłanie do właściwego przepisu rozporządzenia Ministra Sprawiedliwości w sprawie portalu informacyjnego (obecnie projekt B937). Definicja ta nie zawiera już wskazania radcy Prokuratorii Generalnej RP jako użytkownika konta.</w:t>
            </w:r>
          </w:p>
          <w:p w14:paraId="615CED17" w14:textId="41D8F92F" w:rsidR="004D764D" w:rsidRPr="00EE1C60" w:rsidRDefault="00F2535E"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Ponadto, w wyniku skorelowania prac nad przedmiotowym projektem z pracami nad projektem rozporządzenia Ministra Sprawiedliwości w sprawie określenia trybu i sposobu wnoszenia pism procesowych w postaci elektronicznej za pośrednictwem portalu informacyjnego w postępowaniu cywilnym (A545) dokonano korekty przepisów, w tym w zakresie wskazanym w pkt a i b zgłaszanej uwagi</w:t>
            </w:r>
            <w:r w:rsidR="009D4AC3" w:rsidRPr="00EE1C60">
              <w:rPr>
                <w:rStyle w:val="cf01"/>
                <w:rFonts w:ascii="Times New Roman" w:hAnsi="Times New Roman" w:cs="Times New Roman"/>
                <w:sz w:val="22"/>
                <w:szCs w:val="22"/>
              </w:rPr>
              <w:t xml:space="preserve"> m.in. przez skreślenie </w:t>
            </w:r>
            <w:r w:rsidRPr="00EE1C60">
              <w:rPr>
                <w:rStyle w:val="cf01"/>
                <w:rFonts w:ascii="Times New Roman" w:hAnsi="Times New Roman" w:cs="Times New Roman"/>
                <w:sz w:val="22"/>
                <w:szCs w:val="22"/>
              </w:rPr>
              <w:t>„przez użytkownika konta”</w:t>
            </w:r>
            <w:r w:rsidR="009D4AC3" w:rsidRPr="00EE1C60">
              <w:rPr>
                <w:rStyle w:val="cf01"/>
                <w:rFonts w:ascii="Times New Roman" w:hAnsi="Times New Roman" w:cs="Times New Roman"/>
                <w:sz w:val="22"/>
                <w:szCs w:val="22"/>
              </w:rPr>
              <w:t>.</w:t>
            </w:r>
          </w:p>
        </w:tc>
      </w:tr>
      <w:tr w:rsidR="00EC1FF8" w:rsidRPr="00EE1C60" w14:paraId="04561E72" w14:textId="77777777" w:rsidTr="005178F6">
        <w:trPr>
          <w:trHeight w:val="1098"/>
        </w:trPr>
        <w:tc>
          <w:tcPr>
            <w:tcW w:w="830" w:type="dxa"/>
          </w:tcPr>
          <w:p w14:paraId="1788E6A2" w14:textId="4EE55683" w:rsidR="00EC1FF8" w:rsidRPr="009A0263" w:rsidRDefault="00EC1FF8" w:rsidP="009A0263">
            <w:pPr>
              <w:pStyle w:val="Akapitzlist"/>
              <w:numPr>
                <w:ilvl w:val="0"/>
                <w:numId w:val="4"/>
              </w:numPr>
              <w:tabs>
                <w:tab w:val="left" w:pos="360"/>
              </w:tabs>
              <w:rPr>
                <w:rFonts w:cs="Times New Roman"/>
                <w:sz w:val="22"/>
              </w:rPr>
            </w:pPr>
          </w:p>
        </w:tc>
        <w:tc>
          <w:tcPr>
            <w:tcW w:w="1682" w:type="dxa"/>
          </w:tcPr>
          <w:p w14:paraId="7A048999" w14:textId="36D801ED" w:rsidR="00EC1FF8" w:rsidRPr="00EE1C60" w:rsidRDefault="00EC1FF8" w:rsidP="00EE1C60">
            <w:pPr>
              <w:jc w:val="center"/>
              <w:rPr>
                <w:rFonts w:cs="Times New Roman"/>
                <w:sz w:val="22"/>
              </w:rPr>
            </w:pPr>
            <w:r w:rsidRPr="00EE1C60">
              <w:rPr>
                <w:rFonts w:cs="Times New Roman"/>
                <w:sz w:val="22"/>
              </w:rPr>
              <w:t xml:space="preserve">§ 2 pkt 5 </w:t>
            </w:r>
          </w:p>
        </w:tc>
        <w:tc>
          <w:tcPr>
            <w:tcW w:w="1736" w:type="dxa"/>
          </w:tcPr>
          <w:p w14:paraId="1B1FADFE" w14:textId="449F4CCB" w:rsidR="00EC1FF8" w:rsidRPr="00EE1C60" w:rsidRDefault="00EC1FF8" w:rsidP="00EE1C60">
            <w:pPr>
              <w:rPr>
                <w:rFonts w:cs="Times New Roman"/>
                <w:sz w:val="22"/>
              </w:rPr>
            </w:pPr>
            <w:r w:rsidRPr="00EE1C60">
              <w:rPr>
                <w:rFonts w:cs="Times New Roman"/>
                <w:sz w:val="22"/>
              </w:rPr>
              <w:t>Prokuratoria Generalna RP</w:t>
            </w:r>
          </w:p>
        </w:tc>
        <w:tc>
          <w:tcPr>
            <w:tcW w:w="5437" w:type="dxa"/>
          </w:tcPr>
          <w:p w14:paraId="2962A30B" w14:textId="0763201C"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„wnoszący pismo”,</w:t>
            </w:r>
            <w:r w:rsidRPr="00EE1C60">
              <w:rPr>
                <w:rFonts w:cs="Times New Roman"/>
                <w:sz w:val="22"/>
              </w:rPr>
              <w:t xml:space="preserve"> </w:t>
            </w:r>
            <w:r w:rsidR="00EC1FF8" w:rsidRPr="00EE1C60">
              <w:rPr>
                <w:rFonts w:cs="Times New Roman"/>
                <w:sz w:val="22"/>
              </w:rPr>
              <w:t xml:space="preserve">ponieważ jest to określenie ustawowe (art. 116a § 1 </w:t>
            </w:r>
            <w:r w:rsidR="0033450F" w:rsidRPr="00EE1C60">
              <w:rPr>
                <w:rFonts w:cs="Times New Roman"/>
                <w:sz w:val="22"/>
              </w:rPr>
              <w:t>k.p.k.</w:t>
            </w:r>
            <w:r w:rsidR="00EC1FF8" w:rsidRPr="00EE1C60">
              <w:rPr>
                <w:rFonts w:cs="Times New Roman"/>
                <w:sz w:val="22"/>
              </w:rPr>
              <w:t>) i sama ustawa przesądza o tym,</w:t>
            </w:r>
            <w:r w:rsidRPr="00EE1C60">
              <w:rPr>
                <w:rFonts w:cs="Times New Roman"/>
                <w:sz w:val="22"/>
              </w:rPr>
              <w:t xml:space="preserve"> </w:t>
            </w:r>
            <w:r w:rsidR="00EC1FF8" w:rsidRPr="00EE1C60">
              <w:rPr>
                <w:rFonts w:cs="Times New Roman"/>
                <w:sz w:val="22"/>
              </w:rPr>
              <w:t>jakie podmioty składają pisma przez umieszczenie ich treści w portalu informacyjnym</w:t>
            </w:r>
            <w:r w:rsidRPr="00EE1C60">
              <w:rPr>
                <w:rFonts w:cs="Times New Roman"/>
                <w:sz w:val="22"/>
              </w:rPr>
              <w:t xml:space="preserve"> </w:t>
            </w:r>
            <w:r w:rsidR="00EC1FF8" w:rsidRPr="00EE1C60">
              <w:rPr>
                <w:rFonts w:cs="Times New Roman"/>
                <w:sz w:val="22"/>
              </w:rPr>
              <w:t xml:space="preserve">(art. 88 § 2, art. 422 § 1b, art. 428 § 3 </w:t>
            </w:r>
            <w:r w:rsidR="0033450F" w:rsidRPr="00EE1C60">
              <w:rPr>
                <w:rFonts w:cs="Times New Roman"/>
                <w:sz w:val="22"/>
              </w:rPr>
              <w:t>k.p.k.</w:t>
            </w:r>
            <w:r w:rsidR="00EC1FF8" w:rsidRPr="00EE1C60">
              <w:rPr>
                <w:rFonts w:cs="Times New Roman"/>
                <w:sz w:val="22"/>
              </w:rPr>
              <w:t xml:space="preserve">), zaś upoważnienie zawarte w art. 119 § 4 </w:t>
            </w:r>
            <w:r w:rsidR="0033450F" w:rsidRPr="00EE1C60">
              <w:rPr>
                <w:rFonts w:cs="Times New Roman"/>
                <w:sz w:val="22"/>
              </w:rPr>
              <w:t>k.p.k.</w:t>
            </w:r>
            <w:r w:rsidR="00896474" w:rsidRPr="00EE1C60">
              <w:rPr>
                <w:rFonts w:cs="Times New Roman"/>
                <w:sz w:val="22"/>
              </w:rPr>
              <w:t xml:space="preserve"> </w:t>
            </w:r>
            <w:r w:rsidR="00EC1FF8" w:rsidRPr="00EE1C60">
              <w:rPr>
                <w:rFonts w:cs="Times New Roman"/>
                <w:sz w:val="22"/>
              </w:rPr>
              <w:t>nie przewiduje formułowania definicji tego pojęcia w akcie wykonawczym (§ 149 Zasad</w:t>
            </w:r>
            <w:r w:rsidRPr="00EE1C60">
              <w:rPr>
                <w:rFonts w:cs="Times New Roman"/>
                <w:sz w:val="22"/>
              </w:rPr>
              <w:t xml:space="preserve"> </w:t>
            </w:r>
            <w:r w:rsidR="00EC1FF8" w:rsidRPr="00EE1C60">
              <w:rPr>
                <w:rFonts w:cs="Times New Roman"/>
                <w:sz w:val="22"/>
              </w:rPr>
              <w:t>techniki prawodawczej)</w:t>
            </w:r>
          </w:p>
        </w:tc>
        <w:tc>
          <w:tcPr>
            <w:tcW w:w="4624" w:type="dxa"/>
          </w:tcPr>
          <w:p w14:paraId="4BC38520" w14:textId="77777777" w:rsidR="009D4AC3" w:rsidRPr="00EE1C60" w:rsidRDefault="009D4AC3"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niezasadna. </w:t>
            </w:r>
          </w:p>
          <w:p w14:paraId="768F3213" w14:textId="77777777" w:rsidR="00EC1FF8" w:rsidRPr="00EE1C60" w:rsidRDefault="009D4AC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Upoważnienie ustawowe z reguły nie przewiduje upoważnienia formułowania definicji na potrzeby aktów wykonawczych. Taka praktyka legislacyjna jest niespotykana. Kodeks postępowania karnego przesądza jedynie kto jest upoważniony do wniesienia pisma za pośrednictwem portalu informacyjnego. Nie definiuje bezpośrednio „wnoszącego pismo”. Wprowadzona definicja nie jest sprzeczna z regulacją ustawową.</w:t>
            </w:r>
          </w:p>
          <w:p w14:paraId="4815B88F" w14:textId="6B11653A" w:rsidR="005074F6" w:rsidRPr="00EE1C60" w:rsidRDefault="005074F6" w:rsidP="00EE1C60">
            <w:pPr>
              <w:jc w:val="both"/>
              <w:rPr>
                <w:rStyle w:val="cf01"/>
                <w:rFonts w:ascii="Times New Roman" w:hAnsi="Times New Roman" w:cs="Times New Roman"/>
                <w:sz w:val="22"/>
                <w:szCs w:val="22"/>
              </w:rPr>
            </w:pPr>
            <w:r w:rsidRPr="00EE1C60">
              <w:rPr>
                <w:rFonts w:cs="Times New Roman"/>
                <w:sz w:val="22"/>
              </w:rPr>
              <w:t>Ponadto należy wskazać, że zgodnie orzecznictwem, jeżeli  w wydanym na podstawie delegacji rozporządze</w:t>
            </w:r>
            <w:r w:rsidRPr="00EE1C60">
              <w:rPr>
                <w:rFonts w:cs="Times New Roman"/>
                <w:sz w:val="22"/>
              </w:rPr>
              <w:softHyphen/>
              <w:t>niu zawarto definicję wyłącznie na potrzeby tego rozporządzenia, to gra</w:t>
            </w:r>
            <w:r w:rsidRPr="00EE1C60">
              <w:rPr>
                <w:rFonts w:cs="Times New Roman"/>
                <w:sz w:val="22"/>
              </w:rPr>
              <w:softHyphen/>
              <w:t>nice upoważnienia ustawowego nie zostały przekroczone.</w:t>
            </w:r>
          </w:p>
        </w:tc>
      </w:tr>
      <w:tr w:rsidR="00EC1FF8" w:rsidRPr="00EE1C60" w14:paraId="79489316" w14:textId="77777777" w:rsidTr="005178F6">
        <w:trPr>
          <w:trHeight w:val="1098"/>
        </w:trPr>
        <w:tc>
          <w:tcPr>
            <w:tcW w:w="830" w:type="dxa"/>
          </w:tcPr>
          <w:p w14:paraId="72510EBC" w14:textId="0AC70975" w:rsidR="00EC1FF8" w:rsidRPr="009A0263" w:rsidRDefault="00EC1FF8" w:rsidP="009A0263">
            <w:pPr>
              <w:pStyle w:val="Akapitzlist"/>
              <w:numPr>
                <w:ilvl w:val="0"/>
                <w:numId w:val="4"/>
              </w:numPr>
              <w:tabs>
                <w:tab w:val="left" w:pos="360"/>
              </w:tabs>
              <w:rPr>
                <w:rFonts w:cs="Times New Roman"/>
                <w:sz w:val="22"/>
              </w:rPr>
            </w:pPr>
          </w:p>
        </w:tc>
        <w:tc>
          <w:tcPr>
            <w:tcW w:w="1682" w:type="dxa"/>
          </w:tcPr>
          <w:p w14:paraId="2AAF4247" w14:textId="25A88B00" w:rsidR="00EC1FF8" w:rsidRPr="00EE1C60" w:rsidRDefault="00EC1FF8" w:rsidP="00EE1C60">
            <w:pPr>
              <w:jc w:val="center"/>
              <w:rPr>
                <w:rFonts w:cs="Times New Roman"/>
                <w:sz w:val="22"/>
              </w:rPr>
            </w:pPr>
            <w:r w:rsidRPr="00EE1C60">
              <w:rPr>
                <w:rFonts w:cs="Times New Roman"/>
                <w:sz w:val="22"/>
              </w:rPr>
              <w:t xml:space="preserve">§ 2 pkt 12 </w:t>
            </w:r>
          </w:p>
        </w:tc>
        <w:tc>
          <w:tcPr>
            <w:tcW w:w="1736" w:type="dxa"/>
          </w:tcPr>
          <w:p w14:paraId="208E5A90" w14:textId="771F6432" w:rsidR="00EC1FF8" w:rsidRPr="00EE1C60" w:rsidRDefault="00EC1FF8" w:rsidP="00EE1C60">
            <w:pPr>
              <w:rPr>
                <w:rFonts w:cs="Times New Roman"/>
                <w:sz w:val="22"/>
              </w:rPr>
            </w:pPr>
            <w:r w:rsidRPr="00EE1C60">
              <w:rPr>
                <w:rFonts w:cs="Times New Roman"/>
                <w:sz w:val="22"/>
              </w:rPr>
              <w:t>Prokuratoria Generalna RP</w:t>
            </w:r>
          </w:p>
        </w:tc>
        <w:tc>
          <w:tcPr>
            <w:tcW w:w="5437" w:type="dxa"/>
          </w:tcPr>
          <w:p w14:paraId="1943D442" w14:textId="5BA15E16" w:rsidR="00EC1FF8" w:rsidRPr="00EE1C60" w:rsidRDefault="00D96EF1" w:rsidP="00EE1C60">
            <w:pPr>
              <w:autoSpaceDE w:val="0"/>
              <w:autoSpaceDN w:val="0"/>
              <w:adjustRightInd w:val="0"/>
              <w:jc w:val="both"/>
              <w:rPr>
                <w:rFonts w:cs="Times New Roman"/>
                <w:sz w:val="22"/>
              </w:rPr>
            </w:pPr>
            <w:r w:rsidRPr="00EE1C60">
              <w:rPr>
                <w:rFonts w:cs="Times New Roman"/>
                <w:sz w:val="22"/>
              </w:rPr>
              <w:t>P</w:t>
            </w:r>
            <w:r w:rsidR="00EC1FF8" w:rsidRPr="00EE1C60">
              <w:rPr>
                <w:rFonts w:cs="Times New Roman"/>
                <w:sz w:val="22"/>
              </w:rPr>
              <w:t>roponujemy rezygnację z definicji pojęcia „wysyłający pismo”,</w:t>
            </w:r>
            <w:r w:rsidRPr="00EE1C60">
              <w:rPr>
                <w:rFonts w:cs="Times New Roman"/>
                <w:sz w:val="22"/>
              </w:rPr>
              <w:t xml:space="preserve"> </w:t>
            </w:r>
            <w:r w:rsidR="00EC1FF8" w:rsidRPr="00EE1C60">
              <w:rPr>
                <w:rFonts w:cs="Times New Roman"/>
                <w:sz w:val="22"/>
              </w:rPr>
              <w:t>ponieważ sama czynność wniesienia pisma jest opisana w odrębnej definicji (§ 2 pkt 6</w:t>
            </w:r>
            <w:r w:rsidRPr="00EE1C60">
              <w:rPr>
                <w:rFonts w:cs="Times New Roman"/>
                <w:sz w:val="22"/>
              </w:rPr>
              <w:t xml:space="preserve"> </w:t>
            </w:r>
            <w:r w:rsidR="00EC1FF8" w:rsidRPr="00EE1C60">
              <w:rPr>
                <w:rFonts w:cs="Times New Roman"/>
                <w:sz w:val="22"/>
              </w:rPr>
              <w:t>projektu), zaś pojęcie „wysyłający pismo” występuje jedynie w innej definicji (§ 2 pkt 8</w:t>
            </w:r>
            <w:r w:rsidRPr="00EE1C60">
              <w:rPr>
                <w:rFonts w:cs="Times New Roman"/>
                <w:sz w:val="22"/>
              </w:rPr>
              <w:t xml:space="preserve"> </w:t>
            </w:r>
            <w:r w:rsidR="00EC1FF8" w:rsidRPr="00EE1C60">
              <w:rPr>
                <w:rFonts w:cs="Times New Roman"/>
                <w:sz w:val="22"/>
              </w:rPr>
              <w:t>projektu), gdzie jest możliwe jego zastąpienie innym określeniem (np. osoba, która</w:t>
            </w:r>
          </w:p>
          <w:p w14:paraId="0AF483D0" w14:textId="77777777" w:rsidR="00D96EF1" w:rsidRPr="00EE1C60" w:rsidRDefault="00EC1FF8" w:rsidP="00EE1C60">
            <w:pPr>
              <w:autoSpaceDE w:val="0"/>
              <w:autoSpaceDN w:val="0"/>
              <w:adjustRightInd w:val="0"/>
              <w:jc w:val="both"/>
              <w:rPr>
                <w:rFonts w:cs="Times New Roman"/>
                <w:sz w:val="22"/>
              </w:rPr>
            </w:pPr>
            <w:r w:rsidRPr="00EE1C60">
              <w:rPr>
                <w:rFonts w:cs="Times New Roman"/>
                <w:sz w:val="22"/>
              </w:rPr>
              <w:t xml:space="preserve">wywołała funkcję, o której mowa w pkt 6). </w:t>
            </w:r>
          </w:p>
          <w:p w14:paraId="103505B5" w14:textId="0007E6D0" w:rsidR="00EC1FF8" w:rsidRPr="00EE1C60" w:rsidRDefault="00EC1FF8" w:rsidP="00EE1C60">
            <w:pPr>
              <w:autoSpaceDE w:val="0"/>
              <w:autoSpaceDN w:val="0"/>
              <w:adjustRightInd w:val="0"/>
              <w:jc w:val="both"/>
              <w:rPr>
                <w:rFonts w:cs="Times New Roman"/>
                <w:sz w:val="22"/>
              </w:rPr>
            </w:pPr>
            <w:r w:rsidRPr="00EE1C60">
              <w:rPr>
                <w:rFonts w:cs="Times New Roman"/>
                <w:sz w:val="22"/>
              </w:rPr>
              <w:t>W przypadku pozostawienia w projekcie</w:t>
            </w:r>
            <w:r w:rsidR="00D96EF1" w:rsidRPr="00EE1C60">
              <w:rPr>
                <w:rFonts w:cs="Times New Roman"/>
                <w:sz w:val="22"/>
              </w:rPr>
              <w:t xml:space="preserve"> </w:t>
            </w:r>
            <w:r w:rsidRPr="00EE1C60">
              <w:rPr>
                <w:rFonts w:cs="Times New Roman"/>
                <w:sz w:val="22"/>
              </w:rPr>
              <w:t>definicji pojęcia „wysyłający pismo” wyraz „użytkownika” należy zastąpić wyrazem</w:t>
            </w:r>
            <w:r w:rsidR="00D96EF1" w:rsidRPr="00EE1C60">
              <w:rPr>
                <w:rFonts w:cs="Times New Roman"/>
                <w:sz w:val="22"/>
              </w:rPr>
              <w:t xml:space="preserve"> </w:t>
            </w:r>
            <w:r w:rsidRPr="00EE1C60">
              <w:rPr>
                <w:rFonts w:cs="Times New Roman"/>
                <w:sz w:val="22"/>
              </w:rPr>
              <w:t>„osobę” (w związku z ww. uwagą do § 2 pkt 4 projektu);</w:t>
            </w:r>
          </w:p>
        </w:tc>
        <w:tc>
          <w:tcPr>
            <w:tcW w:w="4624" w:type="dxa"/>
          </w:tcPr>
          <w:p w14:paraId="3F29121C" w14:textId="77777777" w:rsidR="005074F6" w:rsidRPr="00EE1C60" w:rsidRDefault="005074F6"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niezasadna. </w:t>
            </w:r>
          </w:p>
          <w:p w14:paraId="5D28977E" w14:textId="0700A791" w:rsidR="00EC1FF8" w:rsidRPr="00EE1C60" w:rsidRDefault="005074F6"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Ze względu na zachowanie czytelności projektowanych przepisów zachowano definicję wysyłającego pismo. Projektowany przepis podkreśla również, że wysyłający pismo oraz wnoszący pismo mogą być różnymi osobami.</w:t>
            </w:r>
          </w:p>
        </w:tc>
      </w:tr>
      <w:tr w:rsidR="005D4E03" w:rsidRPr="00EE1C60" w14:paraId="5C781AAA" w14:textId="77777777" w:rsidTr="005178F6">
        <w:trPr>
          <w:trHeight w:val="1098"/>
        </w:trPr>
        <w:tc>
          <w:tcPr>
            <w:tcW w:w="830" w:type="dxa"/>
          </w:tcPr>
          <w:p w14:paraId="5CDF4747" w14:textId="24A94EF3" w:rsidR="005D4E03" w:rsidRPr="009A0263" w:rsidRDefault="005D4E03" w:rsidP="009A0263">
            <w:pPr>
              <w:pStyle w:val="Akapitzlist"/>
              <w:numPr>
                <w:ilvl w:val="0"/>
                <w:numId w:val="4"/>
              </w:numPr>
              <w:tabs>
                <w:tab w:val="left" w:pos="360"/>
              </w:tabs>
              <w:rPr>
                <w:rFonts w:cs="Times New Roman"/>
                <w:sz w:val="22"/>
              </w:rPr>
            </w:pPr>
          </w:p>
        </w:tc>
        <w:tc>
          <w:tcPr>
            <w:tcW w:w="1682" w:type="dxa"/>
          </w:tcPr>
          <w:p w14:paraId="7CBE4C73" w14:textId="5088C21D" w:rsidR="005D4E03" w:rsidRPr="00EE1C60" w:rsidRDefault="005D4E03" w:rsidP="00EE1C60">
            <w:pPr>
              <w:jc w:val="center"/>
              <w:rPr>
                <w:rFonts w:cs="Times New Roman"/>
                <w:sz w:val="22"/>
              </w:rPr>
            </w:pPr>
            <w:r w:rsidRPr="00EE1C60">
              <w:rPr>
                <w:rFonts w:cs="Times New Roman"/>
                <w:sz w:val="22"/>
              </w:rPr>
              <w:t>§ 2 pkt 4</w:t>
            </w:r>
          </w:p>
        </w:tc>
        <w:tc>
          <w:tcPr>
            <w:tcW w:w="1736" w:type="dxa"/>
          </w:tcPr>
          <w:p w14:paraId="2B87D9EE" w14:textId="64E8A45B" w:rsidR="005D4E03" w:rsidRPr="00EE1C60" w:rsidRDefault="005D4E03" w:rsidP="00EE1C60">
            <w:pPr>
              <w:rPr>
                <w:rFonts w:cs="Times New Roman"/>
                <w:sz w:val="22"/>
              </w:rPr>
            </w:pPr>
            <w:r w:rsidRPr="00EE1C60">
              <w:rPr>
                <w:rFonts w:cs="Times New Roman"/>
                <w:sz w:val="22"/>
              </w:rPr>
              <w:t>Prokuratura Regionalna w Lublinie</w:t>
            </w:r>
          </w:p>
        </w:tc>
        <w:tc>
          <w:tcPr>
            <w:tcW w:w="5437" w:type="dxa"/>
          </w:tcPr>
          <w:p w14:paraId="392BBD22" w14:textId="77777777" w:rsidR="005D4E03" w:rsidRPr="00EE1C60" w:rsidRDefault="005D4E03" w:rsidP="00EE1C60">
            <w:pPr>
              <w:autoSpaceDE w:val="0"/>
              <w:autoSpaceDN w:val="0"/>
              <w:adjustRightInd w:val="0"/>
              <w:jc w:val="both"/>
              <w:rPr>
                <w:rFonts w:cs="Times New Roman"/>
                <w:sz w:val="22"/>
              </w:rPr>
            </w:pPr>
            <w:r w:rsidRPr="00EE1C60">
              <w:rPr>
                <w:rFonts w:cs="Times New Roman"/>
                <w:sz w:val="22"/>
              </w:rPr>
              <w:t xml:space="preserve">W projekcie A544 użytkownik konta (§ 2 pkt 4) został zdefiniowany jako osoba fizyczna wykonująca zawód adwokata lub radcy prawnego, dla której założono konto albo prokurator lub radca Prokuratorii Generalnej Rzeczypospolitej Polskiej, będący użytkownikami konta </w:t>
            </w:r>
            <w:r w:rsidRPr="00EE1C60">
              <w:rPr>
                <w:rFonts w:cs="Times New Roman"/>
                <w:sz w:val="22"/>
              </w:rPr>
              <w:lastRenderedPageBreak/>
              <w:t>podmiotu publicznego prokuratury lub Prokuratorii Generalnej Rzeczypospolitej Polskiej.</w:t>
            </w:r>
          </w:p>
          <w:p w14:paraId="5E03A0A9" w14:textId="77777777" w:rsidR="005D4E03" w:rsidRPr="00EE1C60" w:rsidRDefault="005D4E03" w:rsidP="00EE1C60">
            <w:pPr>
              <w:autoSpaceDE w:val="0"/>
              <w:autoSpaceDN w:val="0"/>
              <w:adjustRightInd w:val="0"/>
              <w:jc w:val="both"/>
              <w:rPr>
                <w:rFonts w:cs="Times New Roman"/>
                <w:sz w:val="22"/>
              </w:rPr>
            </w:pPr>
            <w:r w:rsidRPr="00EE1C60">
              <w:rPr>
                <w:rFonts w:cs="Times New Roman"/>
                <w:sz w:val="22"/>
              </w:rPr>
              <w:t>Analiza tej definicji, w powiązaniu z definicją wysyłającego pismo (§ 2 pkt 12) oraz uzasadnieniem projektu prowadzi do przekonania o konieczności uzupełnienia pojęcia użytkownika konta o pracowników prokuratury lub Prokuratorii Generalnej.</w:t>
            </w:r>
          </w:p>
          <w:p w14:paraId="15C04692" w14:textId="4C374F08" w:rsidR="005D4E03" w:rsidRPr="00EE1C60" w:rsidRDefault="005D4E03" w:rsidP="00EE1C60">
            <w:pPr>
              <w:autoSpaceDE w:val="0"/>
              <w:autoSpaceDN w:val="0"/>
              <w:adjustRightInd w:val="0"/>
              <w:jc w:val="both"/>
              <w:rPr>
                <w:rFonts w:cs="Times New Roman"/>
                <w:sz w:val="22"/>
              </w:rPr>
            </w:pPr>
            <w:r w:rsidRPr="00EE1C60">
              <w:rPr>
                <w:rFonts w:cs="Times New Roman"/>
                <w:sz w:val="22"/>
              </w:rPr>
              <w:t>W przeciwnym razie, wbrew temu co wskazano w uzasadnieniu, wysyłającym pismo nie będzie mógł być pracownik sekretariatu prokuratury lub Prokuratorii Generalnej, a czynność wysłania pisma będzie mógł wykonać tylko prokurator lub radca Prokuratorii Generalnej.</w:t>
            </w:r>
          </w:p>
        </w:tc>
        <w:tc>
          <w:tcPr>
            <w:tcW w:w="4624" w:type="dxa"/>
          </w:tcPr>
          <w:p w14:paraId="1A3F7508" w14:textId="77777777" w:rsidR="00A50EB3" w:rsidRPr="00EE1C60" w:rsidRDefault="00A50EB3" w:rsidP="00EE1C60">
            <w:pPr>
              <w:jc w:val="both"/>
              <w:rPr>
                <w:rFonts w:cs="Times New Roman"/>
                <w:b/>
                <w:bCs/>
                <w:sz w:val="22"/>
              </w:rPr>
            </w:pPr>
            <w:r w:rsidRPr="00EE1C60">
              <w:rPr>
                <w:rStyle w:val="cf01"/>
                <w:rFonts w:ascii="Times New Roman" w:hAnsi="Times New Roman" w:cs="Times New Roman"/>
                <w:b/>
                <w:bCs/>
                <w:sz w:val="22"/>
                <w:szCs w:val="22"/>
              </w:rPr>
              <w:lastRenderedPageBreak/>
              <w:t xml:space="preserve">Uwaga częściowo uwzględniona. </w:t>
            </w:r>
            <w:r w:rsidRPr="00EE1C60">
              <w:rPr>
                <w:rFonts w:cs="Times New Roman"/>
                <w:b/>
                <w:bCs/>
                <w:sz w:val="22"/>
              </w:rPr>
              <w:t xml:space="preserve"> </w:t>
            </w:r>
          </w:p>
          <w:p w14:paraId="7CA268D5" w14:textId="77777777" w:rsidR="00083E6B" w:rsidRP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Definicja ustalająca znaczenie określenia „użytkownik konta” została sformułowana w projekcie rozporządzenia Ministra Sprawiedliwości w sprawie portalu </w:t>
            </w:r>
            <w:r w:rsidRPr="00EE1C60">
              <w:rPr>
                <w:rStyle w:val="cf01"/>
                <w:rFonts w:ascii="Times New Roman" w:hAnsi="Times New Roman" w:cs="Times New Roman"/>
                <w:sz w:val="22"/>
                <w:szCs w:val="22"/>
              </w:rPr>
              <w:lastRenderedPageBreak/>
              <w:t xml:space="preserve">informacyjnego (B937), w którym wskazano, że przez to określenie rozumie się osobę fizyczną, dla której założono konto w portalu informacyjnym. </w:t>
            </w:r>
          </w:p>
          <w:p w14:paraId="5C2EEC56" w14:textId="77777777" w:rsid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Mając powyższe na uwadze, w związku z koniecznością zachowania spójności terminologicznej, zmieniono zamieszczoną w projekcie (A544) definicję określenia „użytkownik konta” przez odesłanie do właściwego przepisu rozporządzenia Ministra Sprawiedliwości w sprawie portalu informacyjnego (obecnie projekt B937).</w:t>
            </w:r>
          </w:p>
          <w:p w14:paraId="0C6010FB" w14:textId="5C4B9F66" w:rsidR="005D4E03" w:rsidRPr="00EE1C60" w:rsidRDefault="00083E6B"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Niezależnie od powyższego niezasadna</w:t>
            </w:r>
            <w:r w:rsidR="00A50EB3" w:rsidRPr="00EE1C60">
              <w:rPr>
                <w:rStyle w:val="cf01"/>
                <w:rFonts w:ascii="Times New Roman" w:hAnsi="Times New Roman" w:cs="Times New Roman"/>
                <w:color w:val="FF0000"/>
                <w:sz w:val="22"/>
                <w:szCs w:val="22"/>
              </w:rPr>
              <w:t xml:space="preserve"> </w:t>
            </w:r>
            <w:r w:rsidR="00A50EB3" w:rsidRPr="00EE1C60">
              <w:rPr>
                <w:rStyle w:val="cf01"/>
                <w:rFonts w:ascii="Times New Roman" w:hAnsi="Times New Roman" w:cs="Times New Roman"/>
                <w:sz w:val="22"/>
                <w:szCs w:val="22"/>
              </w:rPr>
              <w:t>jest uwaga</w:t>
            </w:r>
            <w:r w:rsidRPr="00EE1C60">
              <w:rPr>
                <w:rStyle w:val="cf01"/>
                <w:rFonts w:ascii="Times New Roman" w:hAnsi="Times New Roman" w:cs="Times New Roman"/>
                <w:sz w:val="22"/>
                <w:szCs w:val="22"/>
              </w:rPr>
              <w:t xml:space="preserve"> w zakresie </w:t>
            </w:r>
            <w:r w:rsidR="00A50EB3" w:rsidRPr="00EE1C60">
              <w:rPr>
                <w:rStyle w:val="cf01"/>
                <w:rFonts w:ascii="Times New Roman" w:hAnsi="Times New Roman" w:cs="Times New Roman"/>
                <w:sz w:val="22"/>
                <w:szCs w:val="22"/>
              </w:rPr>
              <w:t>dotycząc</w:t>
            </w:r>
            <w:r w:rsidRPr="00EE1C60">
              <w:rPr>
                <w:rStyle w:val="cf01"/>
                <w:rFonts w:ascii="Times New Roman" w:hAnsi="Times New Roman" w:cs="Times New Roman"/>
                <w:sz w:val="22"/>
                <w:szCs w:val="22"/>
              </w:rPr>
              <w:t>ym</w:t>
            </w:r>
            <w:r w:rsidR="00A50EB3" w:rsidRPr="00EE1C60">
              <w:rPr>
                <w:rStyle w:val="cf01"/>
                <w:rFonts w:ascii="Times New Roman" w:hAnsi="Times New Roman" w:cs="Times New Roman"/>
                <w:sz w:val="22"/>
                <w:szCs w:val="22"/>
              </w:rPr>
              <w:t xml:space="preserve"> konieczności uzupełnienia pojęcia </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użytkownika konta</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 xml:space="preserve"> o pracowników prokuratury lub Prokuratorii Generalnej. Zaproponowana definicja </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użytkowania konta</w:t>
            </w:r>
            <w:r w:rsidRPr="00EE1C60">
              <w:rPr>
                <w:rStyle w:val="cf01"/>
                <w:rFonts w:ascii="Times New Roman" w:hAnsi="Times New Roman" w:cs="Times New Roman"/>
                <w:sz w:val="22"/>
                <w:szCs w:val="22"/>
              </w:rPr>
              <w:t>”</w:t>
            </w:r>
            <w:r w:rsidR="00A50EB3" w:rsidRPr="00EE1C60">
              <w:rPr>
                <w:rStyle w:val="cf01"/>
                <w:rFonts w:ascii="Times New Roman" w:hAnsi="Times New Roman" w:cs="Times New Roman"/>
                <w:sz w:val="22"/>
                <w:szCs w:val="22"/>
              </w:rPr>
              <w:t>, jest regulacją wystarczającą dla zapewnienia działania kont prokuratury i PGRP. Prokuratorzy i pracownicy prokuratury będą mogli korzystać z tych kont za pomocą profili zależnych.</w:t>
            </w:r>
          </w:p>
        </w:tc>
      </w:tr>
      <w:tr w:rsidR="005D4E03" w:rsidRPr="00EE1C60" w14:paraId="794EE068" w14:textId="77777777" w:rsidTr="005178F6">
        <w:trPr>
          <w:trHeight w:val="1098"/>
        </w:trPr>
        <w:tc>
          <w:tcPr>
            <w:tcW w:w="830" w:type="dxa"/>
          </w:tcPr>
          <w:p w14:paraId="255244F7" w14:textId="6A0400E5" w:rsidR="005D4E03" w:rsidRPr="009A0263" w:rsidRDefault="005D4E03" w:rsidP="009A0263">
            <w:pPr>
              <w:pStyle w:val="Akapitzlist"/>
              <w:numPr>
                <w:ilvl w:val="0"/>
                <w:numId w:val="4"/>
              </w:numPr>
              <w:tabs>
                <w:tab w:val="left" w:pos="360"/>
              </w:tabs>
              <w:jc w:val="center"/>
              <w:rPr>
                <w:rFonts w:cs="Times New Roman"/>
                <w:sz w:val="22"/>
              </w:rPr>
            </w:pPr>
          </w:p>
        </w:tc>
        <w:tc>
          <w:tcPr>
            <w:tcW w:w="1682" w:type="dxa"/>
          </w:tcPr>
          <w:p w14:paraId="602C898D" w14:textId="5A0AEA7E" w:rsidR="005D4E03" w:rsidRPr="00EE1C60" w:rsidRDefault="005A43E9" w:rsidP="00EE1C60">
            <w:pPr>
              <w:jc w:val="center"/>
              <w:rPr>
                <w:rFonts w:cs="Times New Roman"/>
                <w:sz w:val="22"/>
              </w:rPr>
            </w:pPr>
            <w:r w:rsidRPr="00EE1C60">
              <w:rPr>
                <w:rFonts w:cs="Times New Roman"/>
                <w:sz w:val="22"/>
              </w:rPr>
              <w:t>§ 2 pkt 6</w:t>
            </w:r>
            <w:r w:rsidR="00E67133" w:rsidRPr="00EE1C60">
              <w:rPr>
                <w:rFonts w:cs="Times New Roman"/>
                <w:sz w:val="22"/>
              </w:rPr>
              <w:t xml:space="preserve"> i 12</w:t>
            </w:r>
          </w:p>
        </w:tc>
        <w:tc>
          <w:tcPr>
            <w:tcW w:w="1736" w:type="dxa"/>
          </w:tcPr>
          <w:p w14:paraId="27A5CD8D" w14:textId="435D091D" w:rsidR="005D4E03" w:rsidRPr="00EE1C60" w:rsidRDefault="005A43E9" w:rsidP="00EE1C60">
            <w:pPr>
              <w:rPr>
                <w:rFonts w:cs="Times New Roman"/>
                <w:sz w:val="22"/>
              </w:rPr>
            </w:pPr>
            <w:r w:rsidRPr="00EE1C60">
              <w:rPr>
                <w:rFonts w:cs="Times New Roman"/>
                <w:sz w:val="22"/>
              </w:rPr>
              <w:t>Prokuratura Regionalna w Lublinie</w:t>
            </w:r>
          </w:p>
        </w:tc>
        <w:tc>
          <w:tcPr>
            <w:tcW w:w="5437" w:type="dxa"/>
          </w:tcPr>
          <w:p w14:paraId="3183557B" w14:textId="77777777" w:rsidR="00CA3B4F" w:rsidRPr="00EE1C60" w:rsidRDefault="005A43E9" w:rsidP="00EE1C60">
            <w:pPr>
              <w:autoSpaceDE w:val="0"/>
              <w:autoSpaceDN w:val="0"/>
              <w:adjustRightInd w:val="0"/>
              <w:jc w:val="both"/>
              <w:rPr>
                <w:rFonts w:cs="Times New Roman"/>
                <w:sz w:val="22"/>
              </w:rPr>
            </w:pPr>
            <w:r w:rsidRPr="00EE1C60">
              <w:rPr>
                <w:rFonts w:cs="Times New Roman"/>
                <w:sz w:val="22"/>
              </w:rPr>
              <w:t>W odniesieniu do pojęć: wniesienia pisma (§ 2 pkt 6) oraz wysyłającego pismo (§ 2 pkt 12) należy podnieść, że w istocie dotyczą one tej samej czynności i tej samej osoby, przy czym pierwsze definiuje osobę, a drugie czynność.</w:t>
            </w:r>
            <w:r w:rsidR="00D96EF1" w:rsidRPr="00EE1C60">
              <w:rPr>
                <w:rFonts w:cs="Times New Roman"/>
                <w:sz w:val="22"/>
              </w:rPr>
              <w:t xml:space="preserve"> </w:t>
            </w:r>
            <w:r w:rsidRPr="00EE1C60">
              <w:rPr>
                <w:rFonts w:cs="Times New Roman"/>
                <w:sz w:val="22"/>
              </w:rPr>
              <w:t>Ich analiza prowadzi do przekonania, że czynność wniesienia pisma, rozumiana jako wywołanie funkcji „złóż pismo” przez użytkownika konta, jest tożsama z czynnością wykonywaną przez wysyłającego pismo.</w:t>
            </w:r>
            <w:r w:rsidR="00D96EF1" w:rsidRPr="00EE1C60">
              <w:rPr>
                <w:rFonts w:cs="Times New Roman"/>
                <w:sz w:val="22"/>
              </w:rPr>
              <w:t xml:space="preserve"> </w:t>
            </w:r>
          </w:p>
          <w:p w14:paraId="1ECB6035" w14:textId="572D17F8" w:rsidR="005D4E03" w:rsidRPr="00EE1C60" w:rsidRDefault="005D4E03" w:rsidP="00EE1C60">
            <w:pPr>
              <w:autoSpaceDE w:val="0"/>
              <w:autoSpaceDN w:val="0"/>
              <w:adjustRightInd w:val="0"/>
              <w:jc w:val="both"/>
              <w:rPr>
                <w:rFonts w:cs="Times New Roman"/>
                <w:sz w:val="22"/>
              </w:rPr>
            </w:pPr>
          </w:p>
        </w:tc>
        <w:tc>
          <w:tcPr>
            <w:tcW w:w="4624" w:type="dxa"/>
          </w:tcPr>
          <w:p w14:paraId="1D5DF64A" w14:textId="77777777" w:rsidR="005D4E03" w:rsidRPr="00EE1C60" w:rsidRDefault="000A54B3"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niezasadna.</w:t>
            </w:r>
          </w:p>
          <w:p w14:paraId="7B369DC1" w14:textId="77EDD30E" w:rsidR="00E67133" w:rsidRPr="00EE1C60" w:rsidRDefault="00E67133"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Rozróżnienie między „wnoszącym pismo” a „wysyłającym pismo” odzwierciedla zasady funkcjonowania portalu informacyjnego w kontekście podejmowanych czynności i ich skutków procesowych. „Wnoszący pismo” to właściciel konta, który jest stroną lub pełnomocnikiem strony i jest upoważniony do wnoszenia pisma na podstawie przepisów szczególnych (nie jest to więc każdy właściciel konta). Natomiast „wysyłający pismo” to użytkownik konta (osoba fizyczna), która </w:t>
            </w:r>
            <w:r w:rsidRPr="00EE1C60">
              <w:rPr>
                <w:rStyle w:val="cf01"/>
                <w:rFonts w:ascii="Times New Roman" w:hAnsi="Times New Roman" w:cs="Times New Roman"/>
                <w:sz w:val="22"/>
                <w:szCs w:val="22"/>
              </w:rPr>
              <w:lastRenderedPageBreak/>
              <w:t>faktycznie dokonuje czynności technicznej – wywołuje odpowiednią funkcję w systemie. Kwestie te zostały szerzej omówione w uzasadnieniu projektu. W przypadku działania w portalu informacyjnym z użyciem profili zależnych osoba, która będzie „wnoszącym pismo” nie będzie pokrywała się z „wysyłającym pismo”. Rozróżnienie tych osób ma znaczenie np. dla zapewnienia rozliczalności działań w systemie. Dla zobrazowania tej różnicy można posłużyć się analogicznym rozróżnieniem między pełnomocnikiem składającym pismo drogą pocztową i osobą, której polecono nadanie przesyłki na poczcie (np. pracownik kancelarii).</w:t>
            </w:r>
          </w:p>
        </w:tc>
      </w:tr>
      <w:tr w:rsidR="005A43E9" w:rsidRPr="00EE1C60" w14:paraId="05F878F4" w14:textId="77777777" w:rsidTr="005178F6">
        <w:trPr>
          <w:trHeight w:val="1098"/>
        </w:trPr>
        <w:tc>
          <w:tcPr>
            <w:tcW w:w="830" w:type="dxa"/>
          </w:tcPr>
          <w:p w14:paraId="122130B7" w14:textId="4DC0EA13" w:rsidR="005A43E9" w:rsidRPr="009A0263" w:rsidRDefault="005A43E9" w:rsidP="009A0263">
            <w:pPr>
              <w:pStyle w:val="Akapitzlist"/>
              <w:numPr>
                <w:ilvl w:val="0"/>
                <w:numId w:val="4"/>
              </w:numPr>
              <w:tabs>
                <w:tab w:val="left" w:pos="360"/>
              </w:tabs>
              <w:jc w:val="center"/>
              <w:rPr>
                <w:rFonts w:cs="Times New Roman"/>
                <w:sz w:val="22"/>
              </w:rPr>
            </w:pPr>
          </w:p>
        </w:tc>
        <w:tc>
          <w:tcPr>
            <w:tcW w:w="1682" w:type="dxa"/>
          </w:tcPr>
          <w:p w14:paraId="1E568851" w14:textId="7E05E7E2" w:rsidR="005A43E9" w:rsidRPr="00EE1C60" w:rsidRDefault="00DA161A" w:rsidP="00EE1C60">
            <w:pPr>
              <w:jc w:val="center"/>
              <w:rPr>
                <w:rFonts w:cs="Times New Roman"/>
                <w:sz w:val="22"/>
              </w:rPr>
            </w:pPr>
            <w:r w:rsidRPr="00EE1C60">
              <w:rPr>
                <w:rFonts w:cs="Times New Roman"/>
                <w:sz w:val="22"/>
              </w:rPr>
              <w:t>§ 2 pkt 6 i 12</w:t>
            </w:r>
          </w:p>
        </w:tc>
        <w:tc>
          <w:tcPr>
            <w:tcW w:w="1736" w:type="dxa"/>
          </w:tcPr>
          <w:p w14:paraId="78B848DD" w14:textId="6B48260C" w:rsidR="005A43E9" w:rsidRPr="00EE1C60" w:rsidRDefault="005A43E9" w:rsidP="00EE1C60">
            <w:pPr>
              <w:rPr>
                <w:rFonts w:cs="Times New Roman"/>
                <w:sz w:val="22"/>
              </w:rPr>
            </w:pPr>
            <w:r w:rsidRPr="00EE1C60">
              <w:rPr>
                <w:rFonts w:cs="Times New Roman"/>
                <w:sz w:val="22"/>
              </w:rPr>
              <w:t>Prokuratura Regionalna w Lublinie</w:t>
            </w:r>
          </w:p>
        </w:tc>
        <w:tc>
          <w:tcPr>
            <w:tcW w:w="5437" w:type="dxa"/>
          </w:tcPr>
          <w:p w14:paraId="50D04464" w14:textId="59D83090" w:rsidR="005A43E9" w:rsidRPr="00EE1C60" w:rsidRDefault="005A43E9" w:rsidP="00EE1C60">
            <w:pPr>
              <w:autoSpaceDE w:val="0"/>
              <w:autoSpaceDN w:val="0"/>
              <w:adjustRightInd w:val="0"/>
              <w:jc w:val="both"/>
              <w:rPr>
                <w:rFonts w:cs="Times New Roman"/>
                <w:sz w:val="22"/>
              </w:rPr>
            </w:pPr>
            <w:r w:rsidRPr="00EE1C60">
              <w:rPr>
                <w:rFonts w:cs="Times New Roman"/>
                <w:sz w:val="22"/>
              </w:rPr>
              <w:t xml:space="preserve">Uwzględniając podniesioną już okoliczność krzyżowania się zakresu tego pojęcia </w:t>
            </w:r>
            <w:r w:rsidR="00DA161A">
              <w:rPr>
                <w:rFonts w:cs="Times New Roman"/>
                <w:sz w:val="22"/>
              </w:rPr>
              <w:t xml:space="preserve">[wysyłającego pismo] </w:t>
            </w:r>
            <w:r w:rsidRPr="00EE1C60">
              <w:rPr>
                <w:rFonts w:cs="Times New Roman"/>
                <w:sz w:val="22"/>
              </w:rPr>
              <w:t>z wniesieniem pisma (§ 2 pkt 6) zasadne będzie usunięcie definicji wysyłającego pismo, co będzie wymagało odpowiedniego dostosowania innych przepisów projektowanego rozporządzenia.</w:t>
            </w:r>
          </w:p>
        </w:tc>
        <w:tc>
          <w:tcPr>
            <w:tcW w:w="4624" w:type="dxa"/>
          </w:tcPr>
          <w:p w14:paraId="01B6DD39" w14:textId="77777777" w:rsidR="00866386" w:rsidRDefault="00DA161A" w:rsidP="00EE1C60">
            <w:pPr>
              <w:jc w:val="both"/>
              <w:rPr>
                <w:rStyle w:val="cf01"/>
                <w:rFonts w:ascii="Times New Roman" w:hAnsi="Times New Roman" w:cs="Times New Roman"/>
                <w:b/>
                <w:bCs/>
                <w:sz w:val="22"/>
                <w:szCs w:val="22"/>
              </w:rPr>
            </w:pPr>
            <w:r>
              <w:rPr>
                <w:rStyle w:val="cf01"/>
                <w:rFonts w:ascii="Times New Roman" w:hAnsi="Times New Roman" w:cs="Times New Roman"/>
                <w:b/>
                <w:bCs/>
                <w:sz w:val="22"/>
                <w:szCs w:val="22"/>
              </w:rPr>
              <w:t>U</w:t>
            </w:r>
            <w:r w:rsidR="00CB5ED9" w:rsidRPr="00EE1C60">
              <w:rPr>
                <w:rStyle w:val="cf01"/>
                <w:rFonts w:ascii="Times New Roman" w:hAnsi="Times New Roman" w:cs="Times New Roman"/>
                <w:b/>
                <w:bCs/>
                <w:sz w:val="22"/>
                <w:szCs w:val="22"/>
              </w:rPr>
              <w:t>waga niezasadna.</w:t>
            </w:r>
            <w:r w:rsidR="00866386">
              <w:rPr>
                <w:rStyle w:val="cf01"/>
                <w:rFonts w:ascii="Times New Roman" w:hAnsi="Times New Roman" w:cs="Times New Roman"/>
                <w:b/>
                <w:bCs/>
                <w:sz w:val="22"/>
                <w:szCs w:val="22"/>
              </w:rPr>
              <w:t xml:space="preserve"> </w:t>
            </w:r>
          </w:p>
          <w:p w14:paraId="60DC7EC7" w14:textId="061F817A" w:rsidR="00CB5ED9" w:rsidRPr="00EE1C60" w:rsidRDefault="000E2F7F"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sz w:val="22"/>
                <w:szCs w:val="22"/>
              </w:rPr>
              <w:t>Uzasadnienie w zakresie konieczności zdefiniowania</w:t>
            </w:r>
            <w:r w:rsidR="007514FA">
              <w:rPr>
                <w:rStyle w:val="cf01"/>
                <w:rFonts w:ascii="Times New Roman" w:hAnsi="Times New Roman" w:cs="Times New Roman"/>
                <w:sz w:val="22"/>
                <w:szCs w:val="22"/>
              </w:rPr>
              <w:t xml:space="preserve"> </w:t>
            </w:r>
            <w:r w:rsidRPr="00EE1C60">
              <w:rPr>
                <w:rStyle w:val="cf01"/>
                <w:rFonts w:ascii="Times New Roman" w:hAnsi="Times New Roman" w:cs="Times New Roman"/>
                <w:sz w:val="22"/>
                <w:szCs w:val="22"/>
              </w:rPr>
              <w:t>tych określeń zostało przedstawione w odniesieniu do uwagi w pkt</w:t>
            </w:r>
            <w:r w:rsidR="007514FA">
              <w:rPr>
                <w:rStyle w:val="cf01"/>
                <w:rFonts w:ascii="Times New Roman" w:hAnsi="Times New Roman" w:cs="Times New Roman"/>
                <w:sz w:val="22"/>
                <w:szCs w:val="22"/>
              </w:rPr>
              <w:t xml:space="preserve"> </w:t>
            </w:r>
            <w:r w:rsidR="00DA161A">
              <w:rPr>
                <w:rStyle w:val="cf01"/>
                <w:rFonts w:ascii="Times New Roman" w:hAnsi="Times New Roman" w:cs="Times New Roman"/>
                <w:sz w:val="22"/>
                <w:szCs w:val="22"/>
              </w:rPr>
              <w:t>5</w:t>
            </w:r>
            <w:r w:rsidR="00CB5ED9" w:rsidRPr="00EE1C60">
              <w:rPr>
                <w:rStyle w:val="cf01"/>
                <w:rFonts w:ascii="Times New Roman" w:hAnsi="Times New Roman" w:cs="Times New Roman"/>
                <w:sz w:val="22"/>
                <w:szCs w:val="22"/>
              </w:rPr>
              <w:t>.</w:t>
            </w:r>
            <w:r w:rsidR="00CB5ED9" w:rsidRPr="00EE1C60">
              <w:rPr>
                <w:rStyle w:val="cf01"/>
                <w:rFonts w:ascii="Times New Roman" w:hAnsi="Times New Roman" w:cs="Times New Roman"/>
                <w:b/>
                <w:bCs/>
                <w:sz w:val="22"/>
                <w:szCs w:val="22"/>
              </w:rPr>
              <w:t xml:space="preserve">  </w:t>
            </w:r>
          </w:p>
        </w:tc>
      </w:tr>
      <w:tr w:rsidR="00D34281" w:rsidRPr="00EE1C60" w14:paraId="029B2B06" w14:textId="77777777" w:rsidTr="005178F6">
        <w:trPr>
          <w:trHeight w:val="1098"/>
        </w:trPr>
        <w:tc>
          <w:tcPr>
            <w:tcW w:w="830" w:type="dxa"/>
          </w:tcPr>
          <w:p w14:paraId="7A6DA679" w14:textId="0D30DA45" w:rsidR="00D34281" w:rsidRPr="009A0263" w:rsidRDefault="00D34281" w:rsidP="009A0263">
            <w:pPr>
              <w:pStyle w:val="Akapitzlist"/>
              <w:numPr>
                <w:ilvl w:val="0"/>
                <w:numId w:val="4"/>
              </w:numPr>
              <w:tabs>
                <w:tab w:val="left" w:pos="360"/>
              </w:tabs>
              <w:jc w:val="center"/>
              <w:rPr>
                <w:rFonts w:cs="Times New Roman"/>
                <w:sz w:val="22"/>
              </w:rPr>
            </w:pPr>
          </w:p>
        </w:tc>
        <w:tc>
          <w:tcPr>
            <w:tcW w:w="1682" w:type="dxa"/>
          </w:tcPr>
          <w:p w14:paraId="5B98727B" w14:textId="16FFFD98" w:rsidR="00D34281" w:rsidRPr="00EE1C60" w:rsidRDefault="00882742" w:rsidP="00EE1C60">
            <w:pPr>
              <w:jc w:val="center"/>
              <w:rPr>
                <w:rFonts w:cs="Times New Roman"/>
                <w:sz w:val="22"/>
              </w:rPr>
            </w:pPr>
            <w:r w:rsidRPr="00EE1C60">
              <w:rPr>
                <w:rFonts w:cs="Times New Roman"/>
                <w:sz w:val="22"/>
              </w:rPr>
              <w:t>O</w:t>
            </w:r>
            <w:r w:rsidR="007E4B02" w:rsidRPr="00EE1C60">
              <w:rPr>
                <w:rFonts w:cs="Times New Roman"/>
                <w:sz w:val="22"/>
              </w:rPr>
              <w:t>gólna</w:t>
            </w:r>
          </w:p>
        </w:tc>
        <w:tc>
          <w:tcPr>
            <w:tcW w:w="1736" w:type="dxa"/>
          </w:tcPr>
          <w:p w14:paraId="026CC2B6" w14:textId="02E3247A" w:rsidR="00D34281" w:rsidRPr="00EE1C60" w:rsidRDefault="00D34281" w:rsidP="00EE1C60">
            <w:pPr>
              <w:rPr>
                <w:rFonts w:cs="Times New Roman"/>
                <w:sz w:val="22"/>
              </w:rPr>
            </w:pPr>
            <w:r w:rsidRPr="00EE1C60">
              <w:rPr>
                <w:rFonts w:cs="Times New Roman"/>
                <w:sz w:val="22"/>
              </w:rPr>
              <w:t>Prokuratura Regionalna w Lublinie</w:t>
            </w:r>
          </w:p>
        </w:tc>
        <w:tc>
          <w:tcPr>
            <w:tcW w:w="5437" w:type="dxa"/>
          </w:tcPr>
          <w:p w14:paraId="5D1AFB22" w14:textId="79B6C1DF" w:rsidR="00D34281" w:rsidRPr="00EE1C60" w:rsidRDefault="00D34281" w:rsidP="00EE1C60">
            <w:pPr>
              <w:autoSpaceDE w:val="0"/>
              <w:autoSpaceDN w:val="0"/>
              <w:adjustRightInd w:val="0"/>
              <w:jc w:val="both"/>
              <w:rPr>
                <w:rFonts w:cs="Times New Roman"/>
                <w:sz w:val="22"/>
              </w:rPr>
            </w:pPr>
            <w:r w:rsidRPr="00EE1C60">
              <w:rPr>
                <w:rFonts w:cs="Times New Roman"/>
                <w:sz w:val="22"/>
              </w:rPr>
              <w:t>Zauważyć należy, że zgodnie z treścią art. 119 § 4 k.p.k. ustawodawca określając upoważnienie do wydania opiniowanego rozporządzenia wskazując okoliczności, jakie należy uwzględnić przy określaniu trybu i sposobu wnoszenia pism procesowych w postaci elektronicznej, przywołał kwestię ochrony praw osób wnoszących pisma.</w:t>
            </w:r>
            <w:r w:rsidR="002D22A2" w:rsidRPr="00EE1C60">
              <w:rPr>
                <w:rFonts w:cs="Times New Roman"/>
                <w:sz w:val="22"/>
              </w:rPr>
              <w:t xml:space="preserve"> </w:t>
            </w:r>
            <w:r w:rsidRPr="00EE1C60">
              <w:rPr>
                <w:rFonts w:cs="Times New Roman"/>
                <w:sz w:val="22"/>
              </w:rPr>
              <w:t xml:space="preserve">Przepisy art. 116a § 1 k.p.k. w zw. z art. 422 § 1b k.p.k. i art. 428 § 3 k.p.k. od 1 marca 2026 r. będą dopuszczały złożenie w postaci elektronicznej za pośrednictwem portalu informacyjnego: wniosku o sporządzenie pisemnego uzasadnienia wyroku, środka odwoławczego, a także odpowiedzi na środek odwoławczy oraz dalsze pisma w </w:t>
            </w:r>
            <w:r w:rsidRPr="00EE1C60">
              <w:rPr>
                <w:rFonts w:cs="Times New Roman"/>
                <w:sz w:val="22"/>
              </w:rPr>
              <w:lastRenderedPageBreak/>
              <w:t>toku postępowania odwoławczego.</w:t>
            </w:r>
            <w:r w:rsidR="002D22A2" w:rsidRPr="00EE1C60">
              <w:rPr>
                <w:rFonts w:cs="Times New Roman"/>
                <w:sz w:val="22"/>
              </w:rPr>
              <w:t xml:space="preserve"> </w:t>
            </w:r>
            <w:r w:rsidRPr="00EE1C60">
              <w:rPr>
                <w:rFonts w:cs="Times New Roman"/>
                <w:sz w:val="22"/>
              </w:rPr>
              <w:t>Skuteczność czynności złożenia wniosku o sporządzenie pisemnego uzasadnienia wyroku oraz środka odwoławczego uzależniona jest od zachowania terminu zawitego.</w:t>
            </w:r>
          </w:p>
          <w:p w14:paraId="6F212407" w14:textId="77777777" w:rsidR="00D34281" w:rsidRPr="00EE1C60" w:rsidRDefault="00D34281" w:rsidP="00EE1C60">
            <w:pPr>
              <w:autoSpaceDE w:val="0"/>
              <w:autoSpaceDN w:val="0"/>
              <w:adjustRightInd w:val="0"/>
              <w:jc w:val="both"/>
              <w:rPr>
                <w:rFonts w:cs="Times New Roman"/>
                <w:sz w:val="22"/>
              </w:rPr>
            </w:pPr>
            <w:r w:rsidRPr="00EE1C60">
              <w:rPr>
                <w:rFonts w:cs="Times New Roman"/>
                <w:sz w:val="22"/>
              </w:rPr>
              <w:t>W rozporządzeniu nie określono żadnych zasad informowania użytkowników portalu o ograniczeniach jego dostępności, co umożliwiałoby im ocenę potencjalnego ryzyka niedochowania terminu zawitego z uwagi na ograniczenia w dostępności portalu informacyjnego, a w konsekwencji złożenia pism procesowych tego rodzaju w tradycyjnym trybie.</w:t>
            </w:r>
          </w:p>
          <w:p w14:paraId="2176746B" w14:textId="66E47CE8" w:rsidR="00D34281" w:rsidRPr="00EE1C60" w:rsidRDefault="00D34281" w:rsidP="00EE1C60">
            <w:pPr>
              <w:autoSpaceDE w:val="0"/>
              <w:autoSpaceDN w:val="0"/>
              <w:adjustRightInd w:val="0"/>
              <w:jc w:val="both"/>
              <w:rPr>
                <w:rFonts w:cs="Times New Roman"/>
                <w:sz w:val="22"/>
              </w:rPr>
            </w:pPr>
            <w:r w:rsidRPr="00EE1C60">
              <w:rPr>
                <w:rFonts w:cs="Times New Roman"/>
                <w:sz w:val="22"/>
              </w:rPr>
              <w:t>Dlatego mając na względzie ochronę praw osób wnoszących pisma w postaci elektronicznej za pośrednictwem portalu niezbędne jest dodanie przepisu  zobowiązującego podmiot utrzymujący portalu informacyjnego do informowania jego użytkowników o ograniczeniach dostępności portalu informacyjnego mogących mieć wpływ na dotrzymanie terminów czynności procesowych.</w:t>
            </w:r>
          </w:p>
        </w:tc>
        <w:tc>
          <w:tcPr>
            <w:tcW w:w="4624" w:type="dxa"/>
          </w:tcPr>
          <w:p w14:paraId="1C3CB2D9" w14:textId="77777777" w:rsidR="00D34281" w:rsidRPr="00EE1C60" w:rsidRDefault="00A86AB3" w:rsidP="00EE1C60">
            <w:pPr>
              <w:jc w:val="both"/>
              <w:rPr>
                <w:rFonts w:cs="Times New Roman"/>
                <w:b/>
                <w:bCs/>
                <w:sz w:val="22"/>
              </w:rPr>
            </w:pPr>
            <w:r w:rsidRPr="00EE1C60">
              <w:rPr>
                <w:rFonts w:cs="Times New Roman"/>
                <w:b/>
                <w:bCs/>
                <w:sz w:val="22"/>
              </w:rPr>
              <w:lastRenderedPageBreak/>
              <w:t>Uwaga ni</w:t>
            </w:r>
            <w:r w:rsidR="000A6802" w:rsidRPr="00EE1C60">
              <w:rPr>
                <w:rFonts w:cs="Times New Roman"/>
                <w:b/>
                <w:bCs/>
                <w:sz w:val="22"/>
              </w:rPr>
              <w:t>euwzględniona</w:t>
            </w:r>
            <w:r w:rsidRPr="00EE1C60">
              <w:rPr>
                <w:rFonts w:cs="Times New Roman"/>
                <w:b/>
                <w:bCs/>
                <w:sz w:val="22"/>
              </w:rPr>
              <w:t xml:space="preserve">. </w:t>
            </w:r>
          </w:p>
          <w:p w14:paraId="5D4A7F20" w14:textId="77777777" w:rsidR="000A6802" w:rsidRPr="00EE1C60" w:rsidRDefault="000A6802" w:rsidP="00EE1C60">
            <w:pPr>
              <w:jc w:val="both"/>
              <w:rPr>
                <w:rFonts w:eastAsia="Aptos" w:cs="Times New Roman"/>
                <w:kern w:val="2"/>
                <w:sz w:val="22"/>
                <w14:ligatures w14:val="standardContextual"/>
              </w:rPr>
            </w:pPr>
            <w:r w:rsidRPr="00EE1C60">
              <w:rPr>
                <w:rFonts w:eastAsia="Aptos" w:cs="Times New Roman"/>
                <w:kern w:val="2"/>
                <w:sz w:val="22"/>
                <w14:ligatures w14:val="standardContextual"/>
              </w:rPr>
              <w:t xml:space="preserve">W postępowaniu karnym jest fakultatywna możliwość składania pism, a nie obligatoryjna. Nadto, w przypadku gdy z powodu ograniczeń będzie uniemożliwiony dostęp do portalu informacyjnego, wówczas służy prawo do złożenia wniosku o przywrócenie terminu. Na marginesie należy zauważyć, że portal informacyjny obsługuje zarówno postępowanie karne, jak i cywilne. W cywilnym postępowaniu z uwagi na przewidzianą obligatoryjność wnoszenia pism za pośrednictwem portalu przez wskazane w </w:t>
            </w:r>
            <w:r w:rsidRPr="00EE1C60">
              <w:rPr>
                <w:rFonts w:eastAsia="Aptos" w:cs="Times New Roman"/>
                <w:kern w:val="2"/>
                <w:sz w:val="22"/>
                <w14:ligatures w14:val="standardContextual"/>
              </w:rPr>
              <w:lastRenderedPageBreak/>
              <w:t>k.p.c. podmioty, zaistniała konieczność na stworzenie mechanizmów związanych z postępowaniem w przypadku niedostępności portalu informacyjnego.</w:t>
            </w:r>
          </w:p>
          <w:p w14:paraId="585CFE78" w14:textId="46B034C3" w:rsidR="000A6802" w:rsidRPr="00EE1C60" w:rsidRDefault="000A6802" w:rsidP="00EE1C60">
            <w:pPr>
              <w:jc w:val="both"/>
              <w:rPr>
                <w:rStyle w:val="cf01"/>
                <w:rFonts w:ascii="Times New Roman" w:hAnsi="Times New Roman" w:cs="Times New Roman"/>
                <w:b/>
                <w:bCs/>
                <w:sz w:val="22"/>
                <w:szCs w:val="22"/>
              </w:rPr>
            </w:pPr>
          </w:p>
        </w:tc>
      </w:tr>
      <w:tr w:rsidR="001D70A8" w:rsidRPr="00EE1C60" w14:paraId="7A18E42C" w14:textId="77777777" w:rsidTr="005178F6">
        <w:trPr>
          <w:trHeight w:val="1098"/>
        </w:trPr>
        <w:tc>
          <w:tcPr>
            <w:tcW w:w="830" w:type="dxa"/>
          </w:tcPr>
          <w:p w14:paraId="2E90268D" w14:textId="351926D9" w:rsidR="001D70A8" w:rsidRPr="009A0263" w:rsidRDefault="001D70A8" w:rsidP="009A0263">
            <w:pPr>
              <w:pStyle w:val="Akapitzlist"/>
              <w:numPr>
                <w:ilvl w:val="0"/>
                <w:numId w:val="4"/>
              </w:numPr>
              <w:tabs>
                <w:tab w:val="left" w:pos="360"/>
              </w:tabs>
              <w:jc w:val="center"/>
              <w:rPr>
                <w:rFonts w:cs="Times New Roman"/>
                <w:sz w:val="22"/>
              </w:rPr>
            </w:pPr>
          </w:p>
        </w:tc>
        <w:tc>
          <w:tcPr>
            <w:tcW w:w="1682" w:type="dxa"/>
          </w:tcPr>
          <w:p w14:paraId="6B23B4AE" w14:textId="40B3AAA6" w:rsidR="001D70A8" w:rsidRPr="00EE1C60" w:rsidRDefault="00882742" w:rsidP="00EE1C60">
            <w:pPr>
              <w:jc w:val="center"/>
              <w:rPr>
                <w:rFonts w:cs="Times New Roman"/>
                <w:sz w:val="22"/>
              </w:rPr>
            </w:pPr>
            <w:r w:rsidRPr="00EE1C60">
              <w:rPr>
                <w:rFonts w:cs="Times New Roman"/>
                <w:sz w:val="22"/>
              </w:rPr>
              <w:t>O</w:t>
            </w:r>
            <w:r w:rsidR="00B32368" w:rsidRPr="00EE1C60">
              <w:rPr>
                <w:rFonts w:cs="Times New Roman"/>
                <w:sz w:val="22"/>
              </w:rPr>
              <w:t>gólna</w:t>
            </w:r>
          </w:p>
        </w:tc>
        <w:tc>
          <w:tcPr>
            <w:tcW w:w="1736" w:type="dxa"/>
          </w:tcPr>
          <w:p w14:paraId="53D75FA9" w14:textId="3CDD88DE" w:rsidR="001D70A8" w:rsidRPr="00EE1C60" w:rsidRDefault="00B32368" w:rsidP="00EE1C60">
            <w:pPr>
              <w:rPr>
                <w:rFonts w:cs="Times New Roman"/>
                <w:sz w:val="22"/>
              </w:rPr>
            </w:pPr>
            <w:r w:rsidRPr="00EE1C60">
              <w:rPr>
                <w:rFonts w:cs="Times New Roman"/>
                <w:sz w:val="22"/>
              </w:rPr>
              <w:t>Sąd Apelacyjny w Katowicach</w:t>
            </w:r>
          </w:p>
        </w:tc>
        <w:tc>
          <w:tcPr>
            <w:tcW w:w="5437" w:type="dxa"/>
          </w:tcPr>
          <w:p w14:paraId="5C640C8A"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Przedmiot analizy stanowiły projekty rozporządzeń Ministra Sprawiedliwości</w:t>
            </w:r>
          </w:p>
          <w:p w14:paraId="0541E759"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w sprawie portalu informacyjnego (projekt z dnia 2 grudnia 2025 r.);</w:t>
            </w:r>
          </w:p>
          <w:p w14:paraId="4C54F34F"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w sprawie określenia trybu i sposobu wnoszenia pism procesowych w postaci elektronicznej za pośrednictwem portalu informacyjnego (projekt z dnia 4 grudnia 2025 r.);</w:t>
            </w:r>
          </w:p>
          <w:p w14:paraId="7206FD74"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 xml:space="preserve">w sprawie bezpośredniego wzajemnego doręczania odpisów pism procesowych z załącznikami pomiędzy adwokatami, radcami prawnymi, rzecznikami patentowymi lub Prokuratorią Generalną Rzeczypospolitej Polskiej za </w:t>
            </w:r>
            <w:r w:rsidRPr="00EE1C60">
              <w:rPr>
                <w:rFonts w:cs="Times New Roman"/>
                <w:sz w:val="22"/>
              </w:rPr>
              <w:lastRenderedPageBreak/>
              <w:t>pośrednictwem portalu informacyjnego w postępowaniu cywilnym (projekt z dnia 2 grudnia 2025 r.);</w:t>
            </w:r>
          </w:p>
          <w:p w14:paraId="11365097"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w:t>
            </w:r>
            <w:r w:rsidRPr="00EE1C60">
              <w:rPr>
                <w:rFonts w:cs="Times New Roman"/>
                <w:sz w:val="22"/>
              </w:rPr>
              <w:tab/>
              <w:t>zmieniające rozporządzenie w sprawie doręczania pism sądowych za pośrednictwem portalu informacyjnego w postępowaniu cywilnym (projekt z dnia 2 grudnia 2025 r.);</w:t>
            </w:r>
          </w:p>
          <w:p w14:paraId="6BBE77A9"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 wraz z uzasadnieniami oraz ocenami skutków regulacji każdego z ww. aktów. Poniższe uwagi odnoszą się do każdego z nich, albowiem wszystkie rozporządzenia dotyczą jednej instytucji procesowej, tj. wnoszenia pism w postaci elektronicznej, posługują się zbieżną terminologią, a przyjęte w nich rozwiązania wzajemnie ze sobą korespondują. </w:t>
            </w:r>
          </w:p>
          <w:p w14:paraId="05018130"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Podjęte czynności doprowadziły do konkluzji, iż w aktualnym stanie rzeczy wskazane akty wykonawcze koncentrują się na sposobie dokonywania odnośnych czynności procesowych za pośrednictwem portalu informacyjnego z perspektywy podmiotów wnoszących pisma. Zarówno w treści rozporządzeń, jak i ich uzasadnieniach, brakuje natomiast skonkretyzowanego odniesienia do czynności podejmowanych przez urzędników administracji sądowej i orzeczników z pismami procesowymi po ich wniesieniu przez portal informacyjny, co jawi się jako etap szczególnie newralgiczny od strony praktycznej.</w:t>
            </w:r>
          </w:p>
          <w:p w14:paraId="25C5CC68"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Nie zostało w szczególności wyjaśnione, w jaki sposób mają być gromadzone i przetwarzane dokumenty przekazane przez portal informacyjny do akt poszczególnych spraw (zwłaszcza w jakim systemie teleinformatycznym). Kwestia ta ma istotne znaczenie z perspektywy z perspektywy odniesienia do przyjętych w załącznikach formatów plików czy wymagań technicznych </w:t>
            </w:r>
            <w:proofErr w:type="spellStart"/>
            <w:r w:rsidRPr="00EE1C60">
              <w:rPr>
                <w:rFonts w:cs="Times New Roman"/>
                <w:sz w:val="22"/>
              </w:rPr>
              <w:lastRenderedPageBreak/>
              <w:t>odwzorowań</w:t>
            </w:r>
            <w:proofErr w:type="spellEnd"/>
            <w:r w:rsidRPr="00EE1C60">
              <w:rPr>
                <w:rFonts w:cs="Times New Roman"/>
                <w:sz w:val="22"/>
              </w:rPr>
              <w:t xml:space="preserve"> cyfrowych. Aktualnie eksploatowane systemy ewidencyjne, w których do tej pory były zbierane dane dotyczące spraw sądowych (np. SAWA) nie obsługują wszystkich spośród wymienionych w tabeli formatów danych. </w:t>
            </w:r>
          </w:p>
          <w:p w14:paraId="303F6D93"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Uzasadnienia projektów odwołują się m. in. do obecnego w krajowych i unijnych strategiach informatyzacji wymiaru sprawiedliwości postulatu interoperacyjności. Sugeruje to wdrożenie mechanizmów integrujących portal informacyjny z sądowymi systemami teleinformatycznymi z obszaru </w:t>
            </w:r>
            <w:proofErr w:type="spellStart"/>
            <w:r w:rsidRPr="00EE1C60">
              <w:rPr>
                <w:rFonts w:cs="Times New Roman"/>
                <w:sz w:val="22"/>
              </w:rPr>
              <w:t>back-office</w:t>
            </w:r>
            <w:proofErr w:type="spellEnd"/>
            <w:r w:rsidRPr="00EE1C60">
              <w:rPr>
                <w:rFonts w:cs="Times New Roman"/>
                <w:sz w:val="22"/>
              </w:rPr>
              <w:t>, które jednak posługują się różnymi formatami danych i praktycznie żaden z nich nie obsługuje jednocześnie wszystkich formatów danych wymienionych w Załączniku nr 1. Analizowane akty prawne nie odnoszą się w żaden konkretny sposób do rozwiązania tych kwestii, mimo że rzutują one na skuteczność dwukierunkowej komunikacji procesowej przez portal informacyjny, którego urzeczywistnienie jest celem regulacji. Innymi słowy, nie jest wiadome, w jaki sposób postulowana interoperacyjność ma zostać wdrożona w kontekście obsługi pism procesowych wnoszonych w postaci elektronicznej za pośrednictwem systemu teleinformatycznego.</w:t>
            </w:r>
          </w:p>
          <w:p w14:paraId="0C5B784C" w14:textId="77777777" w:rsidR="00A57199" w:rsidRPr="00EE1C60" w:rsidRDefault="00A57199" w:rsidP="00EE1C60">
            <w:pPr>
              <w:autoSpaceDE w:val="0"/>
              <w:autoSpaceDN w:val="0"/>
              <w:adjustRightInd w:val="0"/>
              <w:jc w:val="both"/>
              <w:rPr>
                <w:rFonts w:cs="Times New Roman"/>
                <w:sz w:val="22"/>
              </w:rPr>
            </w:pPr>
            <w:r w:rsidRPr="00EE1C60">
              <w:rPr>
                <w:rFonts w:cs="Times New Roman"/>
                <w:sz w:val="22"/>
              </w:rPr>
              <w:t xml:space="preserve">Niejasne są także konsekwencje procesowe niezastosowania się do wymagań technicznych dla dokumentów skanowanych. Ustawa od dnia 1 marca 2026 r. ma przewidywać jedynie rygor odnoszący się do niewniesienia pisma właściwym kanałem komunikacyjnym, nie wskazując konsekwencji nienależytego sformatowania tych plików, co wywołuje wątpliwości odnośnie prawidłowej treści decyzji procesowej sądu/przewodniczącego. Z treści projektów nie wynika natomiast, aby funkcjonalności portalu </w:t>
            </w:r>
            <w:r w:rsidRPr="00EE1C60">
              <w:rPr>
                <w:rFonts w:cs="Times New Roman"/>
                <w:sz w:val="22"/>
              </w:rPr>
              <w:lastRenderedPageBreak/>
              <w:t>informacyjnego obejmowały tak głęboką walidację wnoszonych pism, która oprócz rozmiarów, formatów i nazewnictwa plików obejmowałaby np. rozdzielczość skanów. Nie wiadomo więc, na jakim poziomie (technicznym, administracyjnym czy orzeczniczym) kwestia ta ma być kontrolowana.</w:t>
            </w:r>
          </w:p>
          <w:p w14:paraId="087DB854" w14:textId="2C22B18F" w:rsidR="00B32368" w:rsidRPr="00EE1C60" w:rsidRDefault="00A57199" w:rsidP="00EE1C60">
            <w:pPr>
              <w:autoSpaceDE w:val="0"/>
              <w:autoSpaceDN w:val="0"/>
              <w:adjustRightInd w:val="0"/>
              <w:jc w:val="both"/>
              <w:rPr>
                <w:rFonts w:cs="Times New Roman"/>
                <w:sz w:val="22"/>
              </w:rPr>
            </w:pPr>
            <w:r w:rsidRPr="00EE1C60">
              <w:rPr>
                <w:rFonts w:cs="Times New Roman"/>
                <w:sz w:val="22"/>
              </w:rPr>
              <w:t>W obecnym stanie rzeczy nie sposób jednak odnieść się merytorycznie do zasadności projektowanych rozwiązań ze względu na pominięcie aspektów wpływających na przebieg postępowania od strony wewnętrznej obsługi postępowania i administracji sądowej. Tymczasem to właśnie te elementy są kluczowe dla urzeczywistnienia celów informatyzacji w zakresie przyspieszenia i zwiększenia efektywności postępowań sądowych. Dopiero zaprojektowanie i wyjaśnienie rozwiązań ze wskazanych obszarów – jako podstawowych – pozwoliłoby odnieść się do konkretnych postanowień zawartych w projektach, gdyż na obecnym etapie trafna ocena przyjętych rozwiązań front-</w:t>
            </w:r>
            <w:proofErr w:type="spellStart"/>
            <w:r w:rsidRPr="00EE1C60">
              <w:rPr>
                <w:rFonts w:cs="Times New Roman"/>
                <w:sz w:val="22"/>
              </w:rPr>
              <w:t>office</w:t>
            </w:r>
            <w:proofErr w:type="spellEnd"/>
            <w:r w:rsidRPr="00EE1C60">
              <w:rPr>
                <w:rFonts w:cs="Times New Roman"/>
                <w:sz w:val="22"/>
              </w:rPr>
              <w:t xml:space="preserve">, w oderwaniu od warstwy </w:t>
            </w:r>
            <w:proofErr w:type="spellStart"/>
            <w:r w:rsidRPr="00EE1C60">
              <w:rPr>
                <w:rFonts w:cs="Times New Roman"/>
                <w:sz w:val="22"/>
              </w:rPr>
              <w:t>back-office</w:t>
            </w:r>
            <w:proofErr w:type="spellEnd"/>
            <w:r w:rsidRPr="00EE1C60">
              <w:rPr>
                <w:rFonts w:cs="Times New Roman"/>
                <w:sz w:val="22"/>
              </w:rPr>
              <w:t xml:space="preserve"> nie jest możliwa.</w:t>
            </w:r>
          </w:p>
        </w:tc>
        <w:tc>
          <w:tcPr>
            <w:tcW w:w="4624" w:type="dxa"/>
          </w:tcPr>
          <w:p w14:paraId="5C920FBD" w14:textId="743981C0" w:rsidR="001D70A8" w:rsidRPr="00EE1C60" w:rsidRDefault="00A57199"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lastRenderedPageBreak/>
              <w:t xml:space="preserve">Uwagi </w:t>
            </w:r>
            <w:r w:rsidR="00882742" w:rsidRPr="00EE1C60">
              <w:rPr>
                <w:rStyle w:val="cf01"/>
                <w:rFonts w:ascii="Times New Roman" w:hAnsi="Times New Roman" w:cs="Times New Roman"/>
                <w:sz w:val="22"/>
                <w:szCs w:val="22"/>
              </w:rPr>
              <w:t xml:space="preserve">przedstawione zbiorczo tj. </w:t>
            </w:r>
            <w:r w:rsidRPr="00EE1C60">
              <w:rPr>
                <w:rStyle w:val="cf01"/>
                <w:rFonts w:ascii="Times New Roman" w:hAnsi="Times New Roman" w:cs="Times New Roman"/>
                <w:sz w:val="22"/>
                <w:szCs w:val="22"/>
              </w:rPr>
              <w:t>dotyczą wszystkich rozporządzeń związanych z funkcjonowaniem Portalu Informacyjnego Sądów Powszechnych</w:t>
            </w:r>
            <w:r w:rsidR="005E279B" w:rsidRPr="00EE1C60">
              <w:rPr>
                <w:rStyle w:val="cf01"/>
                <w:rFonts w:ascii="Times New Roman" w:hAnsi="Times New Roman" w:cs="Times New Roman"/>
                <w:sz w:val="22"/>
                <w:szCs w:val="22"/>
              </w:rPr>
              <w:t xml:space="preserve">, natomiast co do zasady </w:t>
            </w:r>
            <w:r w:rsidR="00866386">
              <w:rPr>
                <w:rStyle w:val="cf01"/>
                <w:rFonts w:ascii="Times New Roman" w:hAnsi="Times New Roman" w:cs="Times New Roman"/>
                <w:sz w:val="22"/>
                <w:szCs w:val="22"/>
              </w:rPr>
              <w:t>wykraczają</w:t>
            </w:r>
            <w:r w:rsidR="005E279B" w:rsidRPr="00EE1C60">
              <w:rPr>
                <w:rStyle w:val="cf01"/>
                <w:rFonts w:ascii="Times New Roman" w:hAnsi="Times New Roman" w:cs="Times New Roman"/>
                <w:sz w:val="22"/>
                <w:szCs w:val="22"/>
              </w:rPr>
              <w:t xml:space="preserve"> </w:t>
            </w:r>
            <w:r w:rsidR="001D0A7C" w:rsidRPr="00EE1C60">
              <w:rPr>
                <w:rStyle w:val="cf01"/>
                <w:rFonts w:ascii="Times New Roman" w:hAnsi="Times New Roman" w:cs="Times New Roman"/>
                <w:sz w:val="22"/>
                <w:szCs w:val="22"/>
              </w:rPr>
              <w:t>on</w:t>
            </w:r>
            <w:r w:rsidR="00DA161A">
              <w:rPr>
                <w:rStyle w:val="cf01"/>
                <w:rFonts w:ascii="Times New Roman" w:hAnsi="Times New Roman" w:cs="Times New Roman"/>
                <w:sz w:val="22"/>
                <w:szCs w:val="22"/>
              </w:rPr>
              <w:t>e</w:t>
            </w:r>
            <w:r w:rsidR="001D0A7C" w:rsidRPr="00EE1C60">
              <w:rPr>
                <w:rStyle w:val="cf01"/>
                <w:rFonts w:ascii="Times New Roman" w:hAnsi="Times New Roman" w:cs="Times New Roman"/>
                <w:sz w:val="22"/>
                <w:szCs w:val="22"/>
              </w:rPr>
              <w:t xml:space="preserve"> </w:t>
            </w:r>
            <w:r w:rsidR="005E279B" w:rsidRPr="00EE1C60">
              <w:rPr>
                <w:rStyle w:val="cf01"/>
                <w:rFonts w:ascii="Times New Roman" w:hAnsi="Times New Roman" w:cs="Times New Roman"/>
                <w:b/>
                <w:bCs/>
                <w:sz w:val="22"/>
                <w:szCs w:val="22"/>
              </w:rPr>
              <w:t>poza zakres projektowanej regulacji</w:t>
            </w:r>
            <w:r w:rsidR="00C94063" w:rsidRPr="00EE1C60">
              <w:rPr>
                <w:rStyle w:val="cf01"/>
                <w:rFonts w:ascii="Times New Roman" w:hAnsi="Times New Roman" w:cs="Times New Roman"/>
                <w:b/>
                <w:bCs/>
                <w:sz w:val="22"/>
                <w:szCs w:val="22"/>
              </w:rPr>
              <w:t>.</w:t>
            </w:r>
          </w:p>
          <w:p w14:paraId="2A2F6662" w14:textId="0BC511AD" w:rsidR="005E279B" w:rsidRPr="00EE1C60" w:rsidRDefault="001D0A7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Wskazać należy, że n</w:t>
            </w:r>
            <w:r w:rsidR="005E279B" w:rsidRPr="00EE1C60">
              <w:rPr>
                <w:rStyle w:val="cf01"/>
                <w:rFonts w:ascii="Times New Roman" w:hAnsi="Times New Roman" w:cs="Times New Roman"/>
                <w:sz w:val="22"/>
                <w:szCs w:val="22"/>
              </w:rPr>
              <w:t xml:space="preserve">aruszenie przepisów </w:t>
            </w:r>
            <w:r w:rsidR="00C94063" w:rsidRPr="00EE1C60">
              <w:rPr>
                <w:rStyle w:val="cf01"/>
                <w:rFonts w:ascii="Times New Roman" w:hAnsi="Times New Roman" w:cs="Times New Roman"/>
                <w:sz w:val="22"/>
                <w:szCs w:val="22"/>
              </w:rPr>
              <w:t>w zakresie</w:t>
            </w:r>
            <w:r w:rsidR="005E279B" w:rsidRPr="00EE1C60">
              <w:rPr>
                <w:rStyle w:val="cf01"/>
                <w:rFonts w:ascii="Times New Roman" w:hAnsi="Times New Roman" w:cs="Times New Roman"/>
                <w:sz w:val="22"/>
                <w:szCs w:val="22"/>
              </w:rPr>
              <w:t xml:space="preserve"> wymagań technicznych dotyczących </w:t>
            </w:r>
            <w:proofErr w:type="spellStart"/>
            <w:r w:rsidR="005E279B" w:rsidRPr="00EE1C60">
              <w:rPr>
                <w:rStyle w:val="cf01"/>
                <w:rFonts w:ascii="Times New Roman" w:hAnsi="Times New Roman" w:cs="Times New Roman"/>
                <w:sz w:val="22"/>
                <w:szCs w:val="22"/>
              </w:rPr>
              <w:t>odwzorowań</w:t>
            </w:r>
            <w:proofErr w:type="spellEnd"/>
            <w:r w:rsidR="005E279B" w:rsidRPr="00EE1C60">
              <w:rPr>
                <w:rStyle w:val="cf01"/>
                <w:rFonts w:ascii="Times New Roman" w:hAnsi="Times New Roman" w:cs="Times New Roman"/>
                <w:sz w:val="22"/>
                <w:szCs w:val="22"/>
              </w:rPr>
              <w:t xml:space="preserve"> cyfrowych może powodować nieczytelność przedłożonych dokumentów. Skutkuje to konsekwencjami wynikającymi z przepisów </w:t>
            </w:r>
            <w:r w:rsidR="00247184" w:rsidRPr="00EE1C60">
              <w:rPr>
                <w:rStyle w:val="cf01"/>
                <w:rFonts w:ascii="Times New Roman" w:hAnsi="Times New Roman" w:cs="Times New Roman"/>
                <w:sz w:val="22"/>
                <w:szCs w:val="22"/>
              </w:rPr>
              <w:t>Kodeksu postępowania karnego</w:t>
            </w:r>
            <w:r w:rsidR="005E279B" w:rsidRPr="00EE1C60">
              <w:rPr>
                <w:rStyle w:val="cf01"/>
                <w:rFonts w:ascii="Times New Roman" w:hAnsi="Times New Roman" w:cs="Times New Roman"/>
                <w:sz w:val="22"/>
                <w:szCs w:val="22"/>
              </w:rPr>
              <w:t xml:space="preserve"> – np. wezwaniem do przedłożenia czytelnych </w:t>
            </w:r>
            <w:r w:rsidR="005E279B" w:rsidRPr="00EE1C60">
              <w:rPr>
                <w:rStyle w:val="cf01"/>
                <w:rFonts w:ascii="Times New Roman" w:hAnsi="Times New Roman" w:cs="Times New Roman"/>
                <w:sz w:val="22"/>
                <w:szCs w:val="22"/>
              </w:rPr>
              <w:lastRenderedPageBreak/>
              <w:t>dokumentów (spełniających wymogi z załącznika nr 3)</w:t>
            </w:r>
            <w:r w:rsidR="00247184" w:rsidRPr="00EE1C60">
              <w:rPr>
                <w:rStyle w:val="cf01"/>
                <w:rFonts w:ascii="Times New Roman" w:hAnsi="Times New Roman" w:cs="Times New Roman"/>
                <w:sz w:val="22"/>
                <w:szCs w:val="22"/>
              </w:rPr>
              <w:t>.</w:t>
            </w:r>
            <w:r w:rsidR="005E279B" w:rsidRPr="00EE1C60">
              <w:rPr>
                <w:rStyle w:val="cf01"/>
                <w:rFonts w:ascii="Times New Roman" w:hAnsi="Times New Roman" w:cs="Times New Roman"/>
                <w:sz w:val="22"/>
                <w:szCs w:val="22"/>
              </w:rPr>
              <w:t xml:space="preserve"> </w:t>
            </w:r>
          </w:p>
          <w:p w14:paraId="23E792B1" w14:textId="5623EA07" w:rsidR="005E279B" w:rsidRPr="00EE1C60" w:rsidRDefault="001D0A7C"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Ponadto wskazać należy, że przedmiot rozporządzeń określają delegacje ustawowe. Stosowne regulacje dotyczące zmian w  rozporządzeniu Ministra Sprawiedliwości z dnia 18 czerwca 2019 r. </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Regulamin urzędowania sądów powszechnych (Dz. U. z 2024 r. poz. 867</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z późn. zm.) oraz zarządzenie Ministra Sprawiedliwości z dnia 19 czerwca 2019 r. w sprawie organizacji i zakresu działania sekretariatów sądowych oraz innych działów administracji sądowej (Dz. Urz. MS z 2019 r. poz. 138</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z późn. zm.) zostaną zaprezentowane w najbliższym czasie.</w:t>
            </w:r>
          </w:p>
          <w:p w14:paraId="6458CE7A" w14:textId="77777777" w:rsidR="001D0A7C" w:rsidRPr="00EE1C60" w:rsidRDefault="001D0A7C" w:rsidP="00EE1C60">
            <w:pPr>
              <w:jc w:val="both"/>
              <w:rPr>
                <w:rStyle w:val="cf01"/>
                <w:rFonts w:ascii="Times New Roman" w:hAnsi="Times New Roman" w:cs="Times New Roman"/>
                <w:color w:val="FF0000"/>
                <w:sz w:val="22"/>
                <w:szCs w:val="22"/>
              </w:rPr>
            </w:pPr>
          </w:p>
          <w:p w14:paraId="5A153180" w14:textId="07E18891" w:rsidR="001D0A7C" w:rsidRPr="00EE1C60" w:rsidRDefault="001D0A7C" w:rsidP="00EE1C60">
            <w:pPr>
              <w:jc w:val="both"/>
              <w:rPr>
                <w:rStyle w:val="cf01"/>
                <w:rFonts w:ascii="Times New Roman" w:hAnsi="Times New Roman" w:cs="Times New Roman"/>
                <w:color w:val="FF0000"/>
                <w:sz w:val="22"/>
                <w:szCs w:val="22"/>
              </w:rPr>
            </w:pPr>
          </w:p>
        </w:tc>
      </w:tr>
      <w:tr w:rsidR="00EE2DD3" w:rsidRPr="00EE1C60" w14:paraId="685835DA" w14:textId="77777777" w:rsidTr="005178F6">
        <w:trPr>
          <w:trHeight w:val="1098"/>
        </w:trPr>
        <w:tc>
          <w:tcPr>
            <w:tcW w:w="830" w:type="dxa"/>
          </w:tcPr>
          <w:p w14:paraId="7678388F" w14:textId="4B5911F0" w:rsidR="00EE2DD3" w:rsidRPr="009A0263" w:rsidRDefault="00EE2DD3" w:rsidP="009A0263">
            <w:pPr>
              <w:pStyle w:val="Akapitzlist"/>
              <w:numPr>
                <w:ilvl w:val="0"/>
                <w:numId w:val="4"/>
              </w:numPr>
              <w:tabs>
                <w:tab w:val="left" w:pos="360"/>
              </w:tabs>
              <w:jc w:val="center"/>
              <w:rPr>
                <w:rFonts w:cs="Times New Roman"/>
                <w:sz w:val="22"/>
              </w:rPr>
            </w:pPr>
          </w:p>
        </w:tc>
        <w:tc>
          <w:tcPr>
            <w:tcW w:w="1682" w:type="dxa"/>
          </w:tcPr>
          <w:p w14:paraId="7D1EBA02" w14:textId="7822CF01" w:rsidR="00EE2DD3" w:rsidRPr="00EE1C60" w:rsidRDefault="00882742" w:rsidP="00EE1C60">
            <w:pPr>
              <w:jc w:val="center"/>
              <w:rPr>
                <w:rFonts w:cs="Times New Roman"/>
                <w:sz w:val="22"/>
              </w:rPr>
            </w:pPr>
            <w:r w:rsidRPr="00EE1C60">
              <w:rPr>
                <w:rFonts w:cs="Times New Roman"/>
                <w:sz w:val="22"/>
              </w:rPr>
              <w:t>O</w:t>
            </w:r>
            <w:r w:rsidR="00944781" w:rsidRPr="00EE1C60">
              <w:rPr>
                <w:rFonts w:cs="Times New Roman"/>
                <w:sz w:val="22"/>
              </w:rPr>
              <w:t>gólna</w:t>
            </w:r>
          </w:p>
        </w:tc>
        <w:tc>
          <w:tcPr>
            <w:tcW w:w="1736" w:type="dxa"/>
          </w:tcPr>
          <w:p w14:paraId="1ED2ECDE" w14:textId="0138D109" w:rsidR="00EE2DD3" w:rsidRPr="00EE1C60" w:rsidRDefault="00944781" w:rsidP="00EE1C60">
            <w:pPr>
              <w:rPr>
                <w:rFonts w:cs="Times New Roman"/>
                <w:sz w:val="22"/>
              </w:rPr>
            </w:pPr>
            <w:r w:rsidRPr="00EE1C60">
              <w:rPr>
                <w:rFonts w:cs="Times New Roman"/>
                <w:sz w:val="22"/>
              </w:rPr>
              <w:t>Sąd Apelacyjny w Krakowie</w:t>
            </w:r>
          </w:p>
        </w:tc>
        <w:tc>
          <w:tcPr>
            <w:tcW w:w="5437" w:type="dxa"/>
          </w:tcPr>
          <w:p w14:paraId="14EF4E8B" w14:textId="61B48228" w:rsidR="00944781" w:rsidRPr="00EE1C60" w:rsidRDefault="00896474" w:rsidP="00EE1C60">
            <w:pPr>
              <w:autoSpaceDE w:val="0"/>
              <w:autoSpaceDN w:val="0"/>
              <w:adjustRightInd w:val="0"/>
              <w:jc w:val="both"/>
              <w:rPr>
                <w:rFonts w:cs="Times New Roman"/>
                <w:sz w:val="22"/>
              </w:rPr>
            </w:pPr>
            <w:r w:rsidRPr="00EE1C60">
              <w:rPr>
                <w:rFonts w:cs="Times New Roman"/>
                <w:sz w:val="22"/>
              </w:rPr>
              <w:t>W</w:t>
            </w:r>
            <w:r w:rsidR="00944781" w:rsidRPr="00EE1C60">
              <w:rPr>
                <w:rFonts w:cs="Times New Roman"/>
                <w:sz w:val="22"/>
              </w:rPr>
              <w:t>ydaje się, że w rozporządzeniu powinny być określone</w:t>
            </w:r>
          </w:p>
          <w:p w14:paraId="45F61D0A" w14:textId="4FE46E5F" w:rsidR="00944781" w:rsidRPr="00EE1C60" w:rsidRDefault="00944781" w:rsidP="00EE1C60">
            <w:pPr>
              <w:autoSpaceDE w:val="0"/>
              <w:autoSpaceDN w:val="0"/>
              <w:adjustRightInd w:val="0"/>
              <w:jc w:val="both"/>
              <w:rPr>
                <w:rFonts w:cs="Times New Roman"/>
                <w:sz w:val="22"/>
              </w:rPr>
            </w:pPr>
            <w:r w:rsidRPr="00EE1C60">
              <w:rPr>
                <w:rFonts w:cs="Times New Roman"/>
                <w:sz w:val="22"/>
              </w:rPr>
              <w:t>wymogi dotyczące warunków technicznych także dla odbiorcy pisma, skoro wskazano wymogi dla wnoszenia pism procesowych w postaci elektronicznej za pośrednictwem portalu informacyjnego.</w:t>
            </w:r>
            <w:r w:rsidR="007E4B02" w:rsidRPr="00EE1C60">
              <w:rPr>
                <w:rFonts w:cs="Times New Roman"/>
                <w:sz w:val="22"/>
              </w:rPr>
              <w:t xml:space="preserve"> </w:t>
            </w:r>
            <w:r w:rsidRPr="00EE1C60">
              <w:rPr>
                <w:rFonts w:cs="Times New Roman"/>
                <w:sz w:val="22"/>
              </w:rPr>
              <w:t>Rozporządzenie dotyczy bezpośredniego wzajemnego doręczania odpisów pism procesowych z załącznikami pomiędzy adwokatami, radcami prawnymi, rzecznikami patentowymi lub Prokuratorią Generalną Rzeczypospolitej Polskiej za pośrednictwem portalu informacyjnego w postępowaniu cywilnym. Oznacza</w:t>
            </w:r>
            <w:r w:rsidR="00831AFB" w:rsidRPr="00EE1C60">
              <w:rPr>
                <w:rFonts w:cs="Times New Roman"/>
                <w:sz w:val="22"/>
              </w:rPr>
              <w:t xml:space="preserve"> </w:t>
            </w:r>
            <w:r w:rsidRPr="00EE1C60">
              <w:rPr>
                <w:rFonts w:cs="Times New Roman"/>
                <w:sz w:val="22"/>
              </w:rPr>
              <w:t>to zapewnienie możliwości zapoznania się z pismami, w tym z treścią załączników.</w:t>
            </w:r>
          </w:p>
          <w:p w14:paraId="4C7C6214" w14:textId="77777777" w:rsidR="00831AFB" w:rsidRPr="00EE1C60" w:rsidRDefault="00944781" w:rsidP="00EE1C60">
            <w:pPr>
              <w:autoSpaceDE w:val="0"/>
              <w:autoSpaceDN w:val="0"/>
              <w:adjustRightInd w:val="0"/>
              <w:jc w:val="both"/>
              <w:rPr>
                <w:rFonts w:cs="Times New Roman"/>
                <w:sz w:val="22"/>
              </w:rPr>
            </w:pPr>
            <w:r w:rsidRPr="00EE1C60">
              <w:rPr>
                <w:rFonts w:cs="Times New Roman"/>
                <w:sz w:val="22"/>
              </w:rPr>
              <w:lastRenderedPageBreak/>
              <w:t xml:space="preserve">§ 3 Rozporządzenia w sprawie portalu informacyjnego nie zawiera </w:t>
            </w:r>
            <w:r w:rsidR="00692469" w:rsidRPr="00EE1C60">
              <w:rPr>
                <w:rFonts w:cs="Times New Roman"/>
                <w:sz w:val="22"/>
              </w:rPr>
              <w:t>wymogów technicznych</w:t>
            </w:r>
            <w:r w:rsidRPr="00EE1C60">
              <w:rPr>
                <w:rFonts w:cs="Times New Roman"/>
                <w:sz w:val="22"/>
              </w:rPr>
              <w:t xml:space="preserve"> powiązanych z wymogami dotyczącymi formatów danych dla pism</w:t>
            </w:r>
            <w:r w:rsidR="00831AFB" w:rsidRPr="00EE1C60">
              <w:rPr>
                <w:rFonts w:cs="Times New Roman"/>
                <w:sz w:val="22"/>
              </w:rPr>
              <w:t xml:space="preserve"> </w:t>
            </w:r>
            <w:r w:rsidRPr="00EE1C60">
              <w:rPr>
                <w:rFonts w:cs="Times New Roman"/>
                <w:sz w:val="22"/>
              </w:rPr>
              <w:t>procesowych i załączników składanych za pośrednictwem portalu informacyjnego.</w:t>
            </w:r>
          </w:p>
          <w:p w14:paraId="335EE5C4" w14:textId="7BD82291" w:rsidR="00831AFB" w:rsidRPr="00EE1C60" w:rsidRDefault="00831AFB" w:rsidP="00EE1C60">
            <w:pPr>
              <w:autoSpaceDE w:val="0"/>
              <w:autoSpaceDN w:val="0"/>
              <w:adjustRightInd w:val="0"/>
              <w:jc w:val="both"/>
              <w:rPr>
                <w:rFonts w:eastAsia="Aptos" w:cs="Times New Roman"/>
                <w:kern w:val="2"/>
                <w:sz w:val="22"/>
                <w14:ligatures w14:val="standardContextual"/>
              </w:rPr>
            </w:pPr>
            <w:r w:rsidRPr="00EE1C60">
              <w:rPr>
                <w:rFonts w:eastAsia="Aptos" w:cs="Times New Roman"/>
                <w:kern w:val="2"/>
                <w:sz w:val="22"/>
                <w14:ligatures w14:val="standardContextual"/>
              </w:rPr>
              <w:t>Ponadto negatywnie należy odnieść się do faktu, że rozporządzenie nie reguluje i nie nawiązuje do kwestii dotyczycących doręczenia odpisów pism procesowych i załączników stronie przeciwnej, która nie jest użytkownikiem konta i nie jest reprezentowana przez profesjonalnego pełnomocnika. Doręczenie odpisu pozwu oraz czasem wielu załączników musi być zatem poprzedzone wydrukowaniem tych dokumentów, przesłanych do sądu w formie elektronicznej.</w:t>
            </w:r>
          </w:p>
          <w:p w14:paraId="71C92AAD" w14:textId="22FDC7E4" w:rsidR="00831AFB" w:rsidRPr="00EE1C60" w:rsidRDefault="00831AFB" w:rsidP="00EE1C60">
            <w:pPr>
              <w:autoSpaceDE w:val="0"/>
              <w:autoSpaceDN w:val="0"/>
              <w:adjustRightInd w:val="0"/>
              <w:jc w:val="both"/>
              <w:rPr>
                <w:rFonts w:eastAsia="Aptos" w:cs="Times New Roman"/>
                <w:kern w:val="2"/>
                <w:sz w:val="22"/>
                <w14:ligatures w14:val="standardContextual"/>
              </w:rPr>
            </w:pPr>
            <w:r w:rsidRPr="00EE1C60">
              <w:rPr>
                <w:rFonts w:eastAsia="Aptos" w:cs="Times New Roman"/>
                <w:kern w:val="2"/>
                <w:sz w:val="22"/>
                <w14:ligatures w14:val="standardContextual"/>
              </w:rPr>
              <w:t>Czynności, które do tej pory wykonywali adwokaci lub radcowie prawni (drukowali odpisy pozwu i załączników), będą wykonywane przez sądy. W związku z tym znacznie zwiększy się obciążenie pracą sekretariatów sądów i to sądy poniosą wysokie koszty tych technicznych czynności (czas pracy pracownika, papier, drukarki itp.)</w:t>
            </w:r>
          </w:p>
          <w:p w14:paraId="1CD5CA28" w14:textId="1ADB7FF9" w:rsidR="00831AFB" w:rsidRPr="00EE1C60" w:rsidRDefault="00831AFB" w:rsidP="00EE1C60">
            <w:pPr>
              <w:autoSpaceDE w:val="0"/>
              <w:autoSpaceDN w:val="0"/>
              <w:adjustRightInd w:val="0"/>
              <w:jc w:val="both"/>
              <w:rPr>
                <w:rFonts w:cs="Times New Roman"/>
                <w:sz w:val="22"/>
              </w:rPr>
            </w:pPr>
            <w:r w:rsidRPr="00EE1C60">
              <w:rPr>
                <w:rFonts w:eastAsia="Aptos" w:cs="Times New Roman"/>
                <w:kern w:val="2"/>
                <w:sz w:val="22"/>
                <w14:ligatures w14:val="standardContextual"/>
              </w:rPr>
              <w:t>Projekt doskonały z punktu widzenia zawodów prawniczych (adwokatów i radców prawnych), bowiem znacznie ułatwiający ich pracę, w tym istotnie ograniczający pracę biurową kancelarii prawniczych, związaną z wydrukowaniem pism i załączników dla strony przeciwnej, (które teraz będzie można „mnożyć” bez ograniczeń związanych z kosztami ich drukowania), a przed wszystkim ograniczający koszty kancelarii, które (niestety) w znacznej części zostają przerzucone na sądy.</w:t>
            </w:r>
          </w:p>
        </w:tc>
        <w:tc>
          <w:tcPr>
            <w:tcW w:w="4624" w:type="dxa"/>
          </w:tcPr>
          <w:p w14:paraId="4A5FD425" w14:textId="0318FC27" w:rsidR="00EE2DD3" w:rsidRPr="00EE1C60" w:rsidRDefault="00EA666B"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 xml:space="preserve">Uwaga wykracza poza zakres projektowanej regulacji (większość zgłoszonych uwag dotyczy postępowania cywilnego). </w:t>
            </w:r>
          </w:p>
          <w:p w14:paraId="50B91B46" w14:textId="507EA45E" w:rsidR="00EA666B" w:rsidRPr="00EE1C60" w:rsidRDefault="00EA666B" w:rsidP="00EE1C60">
            <w:pPr>
              <w:jc w:val="both"/>
              <w:rPr>
                <w:rStyle w:val="cf01"/>
                <w:rFonts w:ascii="Times New Roman" w:hAnsi="Times New Roman" w:cs="Times New Roman"/>
                <w:b/>
                <w:bCs/>
                <w:color w:val="FF0000"/>
                <w:sz w:val="22"/>
                <w:szCs w:val="22"/>
              </w:rPr>
            </w:pPr>
            <w:r w:rsidRPr="00EE1C60">
              <w:rPr>
                <w:rStyle w:val="cf01"/>
                <w:rFonts w:ascii="Times New Roman" w:hAnsi="Times New Roman" w:cs="Times New Roman"/>
                <w:sz w:val="22"/>
                <w:szCs w:val="22"/>
              </w:rPr>
              <w:t xml:space="preserve">Należy jednak wskazać, że warunki techniczne korzystania z portalu informacyjnego określa rozporządzenie Ministra Sprawiedliwości w sprawie portalu informacyjnego wydane na podstawie art. 53e § 2 ustawy z dnia 27 lipca 2001 r. – Prawo o ustroju sądów powszechnych (Dz. U. z 2024 r. poz. 334, z późn. zm.). Warunki techniczne dotyczą tak wysyłającego pismo, jak odbiorcy pisma. Warunki korzystania z portalu </w:t>
            </w:r>
            <w:r w:rsidRPr="00EE1C60">
              <w:rPr>
                <w:rStyle w:val="cf01"/>
                <w:rFonts w:ascii="Times New Roman" w:hAnsi="Times New Roman" w:cs="Times New Roman"/>
                <w:sz w:val="22"/>
                <w:szCs w:val="22"/>
              </w:rPr>
              <w:lastRenderedPageBreak/>
              <w:t>informacyjnego dotyczą korzystania z tego systemu, a nie z przesyłanych za jego pomocą dokumentów.</w:t>
            </w:r>
          </w:p>
        </w:tc>
      </w:tr>
      <w:tr w:rsidR="00692469" w:rsidRPr="00EE1C60" w14:paraId="1F53D2A4" w14:textId="77777777" w:rsidTr="005178F6">
        <w:trPr>
          <w:trHeight w:val="1098"/>
        </w:trPr>
        <w:tc>
          <w:tcPr>
            <w:tcW w:w="830" w:type="dxa"/>
          </w:tcPr>
          <w:p w14:paraId="583FC84C" w14:textId="402A731A" w:rsidR="00692469" w:rsidRPr="009A0263" w:rsidRDefault="00692469" w:rsidP="009A0263">
            <w:pPr>
              <w:pStyle w:val="Akapitzlist"/>
              <w:numPr>
                <w:ilvl w:val="0"/>
                <w:numId w:val="4"/>
              </w:numPr>
              <w:tabs>
                <w:tab w:val="left" w:pos="360"/>
              </w:tabs>
              <w:jc w:val="center"/>
              <w:rPr>
                <w:rFonts w:cs="Times New Roman"/>
                <w:sz w:val="22"/>
              </w:rPr>
            </w:pPr>
          </w:p>
        </w:tc>
        <w:tc>
          <w:tcPr>
            <w:tcW w:w="1682" w:type="dxa"/>
          </w:tcPr>
          <w:p w14:paraId="21F3EC92" w14:textId="56AC1D05" w:rsidR="00692469" w:rsidRPr="00EE1C60" w:rsidRDefault="00013EF0" w:rsidP="00EE1C60">
            <w:pPr>
              <w:jc w:val="center"/>
              <w:rPr>
                <w:rFonts w:cs="Times New Roman"/>
                <w:sz w:val="22"/>
              </w:rPr>
            </w:pPr>
            <w:r w:rsidRPr="00EE1C60">
              <w:rPr>
                <w:rFonts w:cs="Times New Roman"/>
                <w:sz w:val="22"/>
              </w:rPr>
              <w:t>O</w:t>
            </w:r>
            <w:r w:rsidR="007E4B02" w:rsidRPr="00EE1C60">
              <w:rPr>
                <w:rFonts w:cs="Times New Roman"/>
                <w:sz w:val="22"/>
              </w:rPr>
              <w:t>gólna</w:t>
            </w:r>
          </w:p>
        </w:tc>
        <w:tc>
          <w:tcPr>
            <w:tcW w:w="1736" w:type="dxa"/>
          </w:tcPr>
          <w:p w14:paraId="25C7522A" w14:textId="37834A10" w:rsidR="00692469" w:rsidRPr="00EE1C60" w:rsidRDefault="00B33E51" w:rsidP="00EE1C60">
            <w:pPr>
              <w:rPr>
                <w:rFonts w:cs="Times New Roman"/>
                <w:sz w:val="22"/>
              </w:rPr>
            </w:pPr>
            <w:r w:rsidRPr="00EE1C60">
              <w:rPr>
                <w:rFonts w:cs="Times New Roman"/>
                <w:sz w:val="22"/>
              </w:rPr>
              <w:t>Sąd Apelacyjny w Lublinie</w:t>
            </w:r>
          </w:p>
        </w:tc>
        <w:tc>
          <w:tcPr>
            <w:tcW w:w="5437" w:type="dxa"/>
          </w:tcPr>
          <w:p w14:paraId="6C635AA7" w14:textId="253D82F4" w:rsidR="00B33E51" w:rsidRPr="00EE1C60" w:rsidRDefault="00B33E51" w:rsidP="00EE1C60">
            <w:pPr>
              <w:autoSpaceDE w:val="0"/>
              <w:autoSpaceDN w:val="0"/>
              <w:adjustRightInd w:val="0"/>
              <w:jc w:val="both"/>
              <w:rPr>
                <w:rFonts w:cs="Times New Roman"/>
                <w:sz w:val="22"/>
              </w:rPr>
            </w:pPr>
            <w:r w:rsidRPr="00EE1C60">
              <w:rPr>
                <w:rFonts w:cs="Times New Roman"/>
                <w:sz w:val="22"/>
              </w:rPr>
              <w:t>Prezes wraz z Dyrektorem Generalnym SA chcą wyeksponować istnienie ryzyka związanego z tym projektem, generującego znaczne obciążenie pracą sekretariatów wydziałów. Powstanie bowiem konieczność drukowania pism, załączników i dołączania ich do akt, co będzie wymagało odpowiednich narzędzi, materiałów a przede wszystkim wzmocnienia kadrowego sekretariatów. Czynności, które do tej pory wykonywali profesjonalni pełnomocnicy będą przerzucone na sąd, co poza nakładem pracy spowoduje także dodatkowe koszty tych technicznych czynności (papier, drukarki, tonery itp.). Niewątpliwie należałoby, w ślad za powyższym projektem, rozważyć</w:t>
            </w:r>
            <w:r w:rsidR="00B15C36" w:rsidRPr="00EE1C60">
              <w:rPr>
                <w:rFonts w:cs="Times New Roman"/>
                <w:sz w:val="22"/>
              </w:rPr>
              <w:t xml:space="preserve"> </w:t>
            </w:r>
            <w:r w:rsidRPr="00EE1C60">
              <w:rPr>
                <w:rFonts w:cs="Times New Roman"/>
                <w:sz w:val="22"/>
              </w:rPr>
              <w:t>wzmocnienie etatowe urzędników sądowych, którzy będą musieli realizować nowe,</w:t>
            </w:r>
          </w:p>
          <w:p w14:paraId="6AA7E6C7" w14:textId="3A999834" w:rsidR="00692469" w:rsidRPr="00EE1C60" w:rsidRDefault="00B33E51" w:rsidP="00EE1C60">
            <w:pPr>
              <w:autoSpaceDE w:val="0"/>
              <w:autoSpaceDN w:val="0"/>
              <w:adjustRightInd w:val="0"/>
              <w:jc w:val="both"/>
              <w:rPr>
                <w:rFonts w:cs="Times New Roman"/>
                <w:sz w:val="22"/>
              </w:rPr>
            </w:pPr>
            <w:r w:rsidRPr="00EE1C60">
              <w:rPr>
                <w:rFonts w:cs="Times New Roman"/>
                <w:sz w:val="22"/>
              </w:rPr>
              <w:t>wskazane w projekcie, zadania.</w:t>
            </w:r>
          </w:p>
        </w:tc>
        <w:tc>
          <w:tcPr>
            <w:tcW w:w="4624" w:type="dxa"/>
          </w:tcPr>
          <w:p w14:paraId="464D521C" w14:textId="10E78B13" w:rsidR="00692469" w:rsidRPr="00EE1C60" w:rsidRDefault="002062E2"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Uwaga wykracza poza zakres projektowanej regulacji.</w:t>
            </w:r>
          </w:p>
        </w:tc>
      </w:tr>
      <w:tr w:rsidR="00D11B80" w:rsidRPr="00EE1C60" w14:paraId="1F4CB4AE" w14:textId="77777777" w:rsidTr="005178F6">
        <w:trPr>
          <w:trHeight w:val="1098"/>
        </w:trPr>
        <w:tc>
          <w:tcPr>
            <w:tcW w:w="830" w:type="dxa"/>
          </w:tcPr>
          <w:p w14:paraId="1BABAD37" w14:textId="4E2626A2" w:rsidR="00D11B80" w:rsidRPr="009A0263" w:rsidRDefault="00D11B80" w:rsidP="009A0263">
            <w:pPr>
              <w:pStyle w:val="Akapitzlist"/>
              <w:numPr>
                <w:ilvl w:val="0"/>
                <w:numId w:val="4"/>
              </w:numPr>
              <w:tabs>
                <w:tab w:val="left" w:pos="360"/>
              </w:tabs>
              <w:jc w:val="center"/>
              <w:rPr>
                <w:rFonts w:cs="Times New Roman"/>
                <w:sz w:val="22"/>
              </w:rPr>
            </w:pPr>
          </w:p>
        </w:tc>
        <w:tc>
          <w:tcPr>
            <w:tcW w:w="1682" w:type="dxa"/>
          </w:tcPr>
          <w:p w14:paraId="2420E3EF" w14:textId="4DFC1E95" w:rsidR="00D11B80" w:rsidRPr="00EE1C60" w:rsidRDefault="00AA4C79" w:rsidP="00EE1C60">
            <w:pPr>
              <w:jc w:val="center"/>
              <w:rPr>
                <w:rFonts w:cs="Times New Roman"/>
                <w:sz w:val="22"/>
              </w:rPr>
            </w:pPr>
            <w:r w:rsidRPr="00EE1C60">
              <w:rPr>
                <w:rFonts w:cs="Times New Roman"/>
                <w:sz w:val="22"/>
              </w:rPr>
              <w:t>Ogólna</w:t>
            </w:r>
          </w:p>
        </w:tc>
        <w:tc>
          <w:tcPr>
            <w:tcW w:w="1736" w:type="dxa"/>
          </w:tcPr>
          <w:p w14:paraId="1CD51035" w14:textId="63426F69" w:rsidR="00D11B80" w:rsidRPr="00EE1C60" w:rsidRDefault="00D11B80" w:rsidP="00EE1C60">
            <w:pPr>
              <w:rPr>
                <w:rFonts w:cs="Times New Roman"/>
                <w:sz w:val="22"/>
              </w:rPr>
            </w:pPr>
            <w:r w:rsidRPr="00EE1C60">
              <w:rPr>
                <w:rFonts w:cs="Times New Roman"/>
                <w:sz w:val="22"/>
              </w:rPr>
              <w:t>Prokurator Krajowy</w:t>
            </w:r>
          </w:p>
        </w:tc>
        <w:tc>
          <w:tcPr>
            <w:tcW w:w="5437" w:type="dxa"/>
          </w:tcPr>
          <w:p w14:paraId="49796B27" w14:textId="77777777" w:rsidR="00D11B80" w:rsidRPr="00EE1C60" w:rsidRDefault="00D11B80" w:rsidP="00EE1C60">
            <w:pPr>
              <w:autoSpaceDE w:val="0"/>
              <w:autoSpaceDN w:val="0"/>
              <w:adjustRightInd w:val="0"/>
              <w:jc w:val="both"/>
              <w:rPr>
                <w:rFonts w:cs="Times New Roman"/>
                <w:sz w:val="22"/>
              </w:rPr>
            </w:pPr>
            <w:r w:rsidRPr="00EE1C60">
              <w:rPr>
                <w:rFonts w:cs="Times New Roman"/>
                <w:sz w:val="22"/>
              </w:rPr>
              <w:t>W uzasadnieniu projektu wskazano, że po wniesieniu pisma w portalu informacyjnym system automatycznie prezentuje na koncie użytkownika datę jego wniesienia oraz generuje dokument potwierdzający wynik weryfikacji podpisów elektronicznych, którymi opatrzono pismo lub jego załączniki. Rozwiązanie to ma zapewnić transparentność czynności procesowej oraz umożliwić niezwłoczne ustalenie czy pismo zostało podpisane w sposób spełniający wymogi prawne. Wątpliwości budzi, czy w ten sam sposób zostanie obsłużona sytuacja negatywnej weryfikacji złożonych podpisów - czy w przypadku, gdy podpis nie zostanie złożony, czy też nie zostanie prawidłowo zweryfikowany, system wygeneruje datę wniesienia, która pojawi się na koncie użytkownika, a wniesione w ten sposób pismo będzie obarczone brakiem formalnym w postaci braku podpisu.</w:t>
            </w:r>
          </w:p>
          <w:p w14:paraId="34DB8690" w14:textId="52108ADD" w:rsidR="00D11B80" w:rsidRPr="00EE1C60" w:rsidRDefault="00D11B80" w:rsidP="00EE1C60">
            <w:pPr>
              <w:autoSpaceDE w:val="0"/>
              <w:autoSpaceDN w:val="0"/>
              <w:adjustRightInd w:val="0"/>
              <w:jc w:val="both"/>
              <w:rPr>
                <w:rFonts w:cs="Times New Roman"/>
                <w:sz w:val="22"/>
              </w:rPr>
            </w:pPr>
            <w:r w:rsidRPr="00EE1C60">
              <w:rPr>
                <w:rFonts w:cs="Times New Roman"/>
                <w:sz w:val="22"/>
              </w:rPr>
              <w:lastRenderedPageBreak/>
              <w:t>Zarówno projekt rozporządzenia jak i jego uzasadnienie nie precyzuje również w jaki sposób zostanie zweryfikowany zaawansowany podpis prokuratora.</w:t>
            </w:r>
          </w:p>
        </w:tc>
        <w:tc>
          <w:tcPr>
            <w:tcW w:w="4624" w:type="dxa"/>
          </w:tcPr>
          <w:p w14:paraId="27BB1AB0" w14:textId="77777777" w:rsidR="00D11B80" w:rsidRPr="00EE1C60" w:rsidRDefault="00AA4C79"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lastRenderedPageBreak/>
              <w:t>Uwaga nieuwzględniona.</w:t>
            </w:r>
          </w:p>
          <w:p w14:paraId="554802C4" w14:textId="77777777" w:rsidR="00AA4C79" w:rsidRPr="00EE1C60" w:rsidRDefault="00AA4C79"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Wynik weryfikacji podpisu może być pozytywny albo negatywny. Negatywna</w:t>
            </w:r>
            <w:r w:rsidRPr="00EE1C60">
              <w:rPr>
                <w:rStyle w:val="cf01"/>
                <w:rFonts w:ascii="Times New Roman" w:hAnsi="Times New Roman" w:cs="Times New Roman"/>
                <w:b/>
                <w:bCs/>
                <w:sz w:val="22"/>
                <w:szCs w:val="22"/>
              </w:rPr>
              <w:t xml:space="preserve"> </w:t>
            </w:r>
            <w:r w:rsidRPr="00EE1C60">
              <w:rPr>
                <w:rStyle w:val="cf01"/>
                <w:rFonts w:ascii="Times New Roman" w:hAnsi="Times New Roman" w:cs="Times New Roman"/>
                <w:sz w:val="22"/>
                <w:szCs w:val="22"/>
              </w:rPr>
              <w:t>weryfikacja podpisu spowoduje, że tę sytuację oceni sąd.</w:t>
            </w:r>
          </w:p>
          <w:p w14:paraId="64C61CD3" w14:textId="28647FFD" w:rsidR="00AA4C79" w:rsidRPr="00EE1C60" w:rsidRDefault="00AA4C79" w:rsidP="00EE1C60">
            <w:pPr>
              <w:jc w:val="both"/>
              <w:rPr>
                <w:rStyle w:val="cf01"/>
                <w:rFonts w:ascii="Times New Roman" w:hAnsi="Times New Roman" w:cs="Times New Roman"/>
                <w:color w:val="FF0000"/>
                <w:sz w:val="22"/>
                <w:szCs w:val="22"/>
              </w:rPr>
            </w:pPr>
            <w:r w:rsidRPr="00EE1C60">
              <w:rPr>
                <w:rStyle w:val="cf01"/>
                <w:rFonts w:ascii="Times New Roman" w:hAnsi="Times New Roman" w:cs="Times New Roman"/>
                <w:sz w:val="22"/>
                <w:szCs w:val="22"/>
              </w:rPr>
              <w:t>Kwestie dotyczące sposobu weryfikacji podpisów stanowią</w:t>
            </w:r>
            <w:r w:rsidR="008B3A47" w:rsidRPr="00EE1C60">
              <w:rPr>
                <w:rStyle w:val="cf01"/>
                <w:rFonts w:ascii="Times New Roman" w:hAnsi="Times New Roman" w:cs="Times New Roman"/>
                <w:sz w:val="22"/>
                <w:szCs w:val="22"/>
              </w:rPr>
              <w:t xml:space="preserve"> rozwiązania techniczne.</w:t>
            </w:r>
          </w:p>
        </w:tc>
      </w:tr>
      <w:tr w:rsidR="00D11B80" w:rsidRPr="00EE1C60" w14:paraId="537041BF" w14:textId="77777777" w:rsidTr="005178F6">
        <w:trPr>
          <w:trHeight w:val="1098"/>
        </w:trPr>
        <w:tc>
          <w:tcPr>
            <w:tcW w:w="830" w:type="dxa"/>
          </w:tcPr>
          <w:p w14:paraId="41906F96" w14:textId="31F8E6EF" w:rsidR="00D11B80" w:rsidRPr="009A0263" w:rsidRDefault="00D11B80" w:rsidP="009A0263">
            <w:pPr>
              <w:pStyle w:val="Akapitzlist"/>
              <w:numPr>
                <w:ilvl w:val="0"/>
                <w:numId w:val="4"/>
              </w:numPr>
              <w:tabs>
                <w:tab w:val="left" w:pos="360"/>
              </w:tabs>
              <w:jc w:val="center"/>
              <w:rPr>
                <w:rFonts w:cs="Times New Roman"/>
                <w:sz w:val="22"/>
              </w:rPr>
            </w:pPr>
            <w:bookmarkStart w:id="0" w:name="_Hlk219470072"/>
          </w:p>
        </w:tc>
        <w:tc>
          <w:tcPr>
            <w:tcW w:w="1682" w:type="dxa"/>
          </w:tcPr>
          <w:p w14:paraId="5D1595CC" w14:textId="2229FA3D" w:rsidR="00D11B80" w:rsidRPr="00EE1C60" w:rsidRDefault="00013EF0" w:rsidP="00EE1C60">
            <w:pPr>
              <w:jc w:val="center"/>
              <w:rPr>
                <w:rFonts w:cs="Times New Roman"/>
                <w:sz w:val="22"/>
              </w:rPr>
            </w:pPr>
            <w:r w:rsidRPr="00EE1C60">
              <w:rPr>
                <w:rFonts w:cs="Times New Roman"/>
                <w:sz w:val="22"/>
              </w:rPr>
              <w:t>Ogólna</w:t>
            </w:r>
          </w:p>
        </w:tc>
        <w:tc>
          <w:tcPr>
            <w:tcW w:w="1736" w:type="dxa"/>
          </w:tcPr>
          <w:p w14:paraId="202097D1" w14:textId="5E392A19" w:rsidR="00D11B80" w:rsidRPr="00EE1C60" w:rsidRDefault="00D11B80" w:rsidP="00EE1C60">
            <w:pPr>
              <w:rPr>
                <w:rFonts w:cs="Times New Roman"/>
                <w:sz w:val="22"/>
              </w:rPr>
            </w:pPr>
            <w:r w:rsidRPr="00EE1C60">
              <w:rPr>
                <w:rFonts w:cs="Times New Roman"/>
                <w:sz w:val="22"/>
              </w:rPr>
              <w:t xml:space="preserve">Sąd Apelacyjny w </w:t>
            </w:r>
            <w:r w:rsidR="0063541E" w:rsidRPr="00EE1C60">
              <w:rPr>
                <w:rFonts w:cs="Times New Roman"/>
                <w:sz w:val="22"/>
              </w:rPr>
              <w:t>Warszawie</w:t>
            </w:r>
          </w:p>
        </w:tc>
        <w:tc>
          <w:tcPr>
            <w:tcW w:w="5437" w:type="dxa"/>
          </w:tcPr>
          <w:p w14:paraId="404AC867" w14:textId="4D2E19D4" w:rsidR="0063541E" w:rsidRPr="00EE1C60" w:rsidRDefault="00896474" w:rsidP="00EE1C60">
            <w:pPr>
              <w:autoSpaceDE w:val="0"/>
              <w:autoSpaceDN w:val="0"/>
              <w:adjustRightInd w:val="0"/>
              <w:jc w:val="both"/>
              <w:rPr>
                <w:rFonts w:cs="Times New Roman"/>
                <w:sz w:val="22"/>
              </w:rPr>
            </w:pPr>
            <w:r w:rsidRPr="00EE1C60">
              <w:rPr>
                <w:rFonts w:cs="Times New Roman"/>
                <w:sz w:val="22"/>
              </w:rPr>
              <w:t>Z</w:t>
            </w:r>
            <w:r w:rsidR="0063541E" w:rsidRPr="00EE1C60">
              <w:rPr>
                <w:rFonts w:cs="Times New Roman"/>
                <w:sz w:val="22"/>
              </w:rPr>
              <w:t xml:space="preserve">głoszono </w:t>
            </w:r>
            <w:r w:rsidR="00FE173E" w:rsidRPr="00EE1C60">
              <w:rPr>
                <w:rFonts w:cs="Times New Roman"/>
                <w:sz w:val="22"/>
              </w:rPr>
              <w:t>uwagę,</w:t>
            </w:r>
            <w:r w:rsidR="0063541E" w:rsidRPr="00EE1C60">
              <w:rPr>
                <w:rFonts w:cs="Times New Roman"/>
                <w:sz w:val="22"/>
              </w:rPr>
              <w:t xml:space="preserve"> aby w projekcie uwzględnić zapis o treści:</w:t>
            </w:r>
          </w:p>
          <w:p w14:paraId="476EA716" w14:textId="4289721C" w:rsidR="0063541E" w:rsidRPr="00EE1C60" w:rsidRDefault="0063541E" w:rsidP="00EE1C60">
            <w:pPr>
              <w:autoSpaceDE w:val="0"/>
              <w:autoSpaceDN w:val="0"/>
              <w:adjustRightInd w:val="0"/>
              <w:jc w:val="both"/>
              <w:rPr>
                <w:rFonts w:cs="Times New Roman"/>
                <w:sz w:val="22"/>
              </w:rPr>
            </w:pPr>
            <w:r w:rsidRPr="00EE1C60">
              <w:rPr>
                <w:rFonts w:cs="Times New Roman"/>
                <w:sz w:val="22"/>
              </w:rPr>
              <w:t>„1. Dyrektor, któremu powierzono wykonywanie zadań związanych z utrzymaniem i</w:t>
            </w:r>
            <w:r w:rsidR="00013EF0" w:rsidRPr="00EE1C60">
              <w:rPr>
                <w:rFonts w:cs="Times New Roman"/>
                <w:sz w:val="22"/>
              </w:rPr>
              <w:t xml:space="preserve"> </w:t>
            </w:r>
            <w:r w:rsidRPr="00EE1C60">
              <w:rPr>
                <w:rFonts w:cs="Times New Roman"/>
                <w:sz w:val="22"/>
              </w:rPr>
              <w:t xml:space="preserve">rozwojem portalu informacyjnego zgodnie z art. 175da § 7 </w:t>
            </w:r>
            <w:proofErr w:type="spellStart"/>
            <w:r w:rsidRPr="00EE1C60">
              <w:rPr>
                <w:rFonts w:cs="Times New Roman"/>
                <w:sz w:val="22"/>
              </w:rPr>
              <w:t>p.u.s.p</w:t>
            </w:r>
            <w:proofErr w:type="spellEnd"/>
            <w:r w:rsidRPr="00EE1C60">
              <w:rPr>
                <w:rFonts w:cs="Times New Roman"/>
                <w:sz w:val="22"/>
              </w:rPr>
              <w:t>. informuje na stronie</w:t>
            </w:r>
            <w:r w:rsidR="00013EF0" w:rsidRPr="00EE1C60">
              <w:rPr>
                <w:rFonts w:cs="Times New Roman"/>
                <w:sz w:val="22"/>
              </w:rPr>
              <w:t xml:space="preserve"> </w:t>
            </w:r>
            <w:r w:rsidRPr="00EE1C60">
              <w:rPr>
                <w:rFonts w:cs="Times New Roman"/>
                <w:sz w:val="22"/>
              </w:rPr>
              <w:t>internetowej portalu informacyjnego w zakładce „Ograniczenia dostępności portalu” o</w:t>
            </w:r>
            <w:r w:rsidR="00013EF0" w:rsidRPr="00EE1C60">
              <w:rPr>
                <w:rFonts w:cs="Times New Roman"/>
                <w:sz w:val="22"/>
              </w:rPr>
              <w:t xml:space="preserve"> </w:t>
            </w:r>
            <w:r w:rsidRPr="00EE1C60">
              <w:rPr>
                <w:rFonts w:cs="Times New Roman"/>
                <w:sz w:val="22"/>
              </w:rPr>
              <w:t>ograniczeniach dostępności portalu informacyjnego trwających ponad 10 minut.</w:t>
            </w:r>
          </w:p>
          <w:p w14:paraId="1D6CE533" w14:textId="3AAB5ED3" w:rsidR="00D11B80" w:rsidRPr="00EE1C60" w:rsidRDefault="0063541E" w:rsidP="00EE1C60">
            <w:pPr>
              <w:autoSpaceDE w:val="0"/>
              <w:autoSpaceDN w:val="0"/>
              <w:adjustRightInd w:val="0"/>
              <w:jc w:val="both"/>
              <w:rPr>
                <w:rFonts w:cs="Times New Roman"/>
                <w:sz w:val="22"/>
              </w:rPr>
            </w:pPr>
            <w:r w:rsidRPr="00EE1C60">
              <w:rPr>
                <w:rFonts w:cs="Times New Roman"/>
                <w:sz w:val="22"/>
              </w:rPr>
              <w:t>2. W zakładce umieszcza się informacje o dacie i godzinie wystąpienia ograniczenia</w:t>
            </w:r>
            <w:r w:rsidR="00013EF0" w:rsidRPr="00EE1C60">
              <w:rPr>
                <w:rFonts w:cs="Times New Roman"/>
                <w:sz w:val="22"/>
              </w:rPr>
              <w:t xml:space="preserve"> </w:t>
            </w:r>
            <w:r w:rsidRPr="00EE1C60">
              <w:rPr>
                <w:rFonts w:cs="Times New Roman"/>
                <w:sz w:val="22"/>
              </w:rPr>
              <w:t>dostępności portalu, w miarę możliwości o dacie i godzinie przywrócenia dostępności portalu, zakresie terytorialnym ze wskazaniem apelacji (o ile dotyczy), zakresie podmiotowym osób objętych ograniczeniem dostępności (o ile dotyczy), zakresie przedmiotowym ograniczenia dostępności ze wskazaniem funkcjonalności portalu, które nie były dostępne (o ile dotyczy), a także informację czy była to planowana niedostępność oraz z jakim wyprzedzeniem została umieszona informacja na stronie głównej portalu.”</w:t>
            </w:r>
          </w:p>
        </w:tc>
        <w:tc>
          <w:tcPr>
            <w:tcW w:w="4624" w:type="dxa"/>
          </w:tcPr>
          <w:p w14:paraId="12C313B1" w14:textId="38E1EDFD" w:rsidR="00013EF0" w:rsidRPr="00EE1C60" w:rsidRDefault="00013EF0" w:rsidP="00EE1C60">
            <w:pPr>
              <w:jc w:val="both"/>
              <w:rPr>
                <w:rStyle w:val="cf01"/>
                <w:rFonts w:ascii="Times New Roman" w:hAnsi="Times New Roman" w:cs="Times New Roman"/>
                <w:b/>
                <w:bCs/>
                <w:sz w:val="22"/>
                <w:szCs w:val="22"/>
              </w:rPr>
            </w:pPr>
            <w:r w:rsidRPr="00EE1C60">
              <w:rPr>
                <w:rStyle w:val="cf01"/>
                <w:rFonts w:ascii="Times New Roman" w:hAnsi="Times New Roman" w:cs="Times New Roman"/>
                <w:b/>
                <w:bCs/>
                <w:sz w:val="22"/>
                <w:szCs w:val="22"/>
              </w:rPr>
              <w:t xml:space="preserve">Uwaga </w:t>
            </w:r>
            <w:r w:rsidR="000A6802" w:rsidRPr="00EE1C60">
              <w:rPr>
                <w:rStyle w:val="cf01"/>
                <w:rFonts w:ascii="Times New Roman" w:hAnsi="Times New Roman" w:cs="Times New Roman"/>
                <w:b/>
                <w:bCs/>
                <w:sz w:val="22"/>
                <w:szCs w:val="22"/>
              </w:rPr>
              <w:t>nieuwzględniona</w:t>
            </w:r>
            <w:r w:rsidRPr="00EE1C60">
              <w:rPr>
                <w:rStyle w:val="cf01"/>
                <w:rFonts w:ascii="Times New Roman" w:hAnsi="Times New Roman" w:cs="Times New Roman"/>
                <w:b/>
                <w:bCs/>
                <w:sz w:val="22"/>
                <w:szCs w:val="22"/>
              </w:rPr>
              <w:t>.</w:t>
            </w:r>
          </w:p>
          <w:p w14:paraId="75A198CF" w14:textId="00F7B039" w:rsidR="00013EF0" w:rsidRPr="00EE1C60" w:rsidRDefault="00013EF0" w:rsidP="00EE1C60">
            <w:pPr>
              <w:jc w:val="both"/>
              <w:rPr>
                <w:rStyle w:val="cf01"/>
                <w:rFonts w:ascii="Times New Roman" w:hAnsi="Times New Roman" w:cs="Times New Roman"/>
                <w:sz w:val="22"/>
                <w:szCs w:val="22"/>
              </w:rPr>
            </w:pPr>
            <w:r w:rsidRPr="00EE1C60">
              <w:rPr>
                <w:rStyle w:val="cf01"/>
                <w:rFonts w:ascii="Times New Roman" w:hAnsi="Times New Roman" w:cs="Times New Roman"/>
                <w:sz w:val="22"/>
                <w:szCs w:val="22"/>
              </w:rPr>
              <w:t xml:space="preserve">W postępowaniu karnym jest fakultatywna możliwość składania pism, </w:t>
            </w:r>
            <w:r w:rsidR="00882742" w:rsidRPr="00EE1C60">
              <w:rPr>
                <w:rStyle w:val="cf01"/>
                <w:rFonts w:ascii="Times New Roman" w:hAnsi="Times New Roman" w:cs="Times New Roman"/>
                <w:sz w:val="22"/>
                <w:szCs w:val="22"/>
              </w:rPr>
              <w:t xml:space="preserve">a </w:t>
            </w:r>
            <w:r w:rsidRPr="00EE1C60">
              <w:rPr>
                <w:rStyle w:val="cf01"/>
                <w:rFonts w:ascii="Times New Roman" w:hAnsi="Times New Roman" w:cs="Times New Roman"/>
                <w:sz w:val="22"/>
                <w:szCs w:val="22"/>
              </w:rPr>
              <w:t>nie obligatoryjna. Nadto, w przypadku gdy z powodu ograniczeń będzie uniemożliwiony dostęp do portalu</w:t>
            </w:r>
            <w:r w:rsidR="00247184" w:rsidRPr="00EE1C60">
              <w:rPr>
                <w:rStyle w:val="cf01"/>
                <w:rFonts w:ascii="Times New Roman" w:hAnsi="Times New Roman" w:cs="Times New Roman"/>
                <w:sz w:val="22"/>
                <w:szCs w:val="22"/>
              </w:rPr>
              <w:t xml:space="preserve"> informacyjnego</w:t>
            </w:r>
            <w:r w:rsidRPr="00EE1C60">
              <w:rPr>
                <w:rStyle w:val="cf01"/>
                <w:rFonts w:ascii="Times New Roman" w:hAnsi="Times New Roman" w:cs="Times New Roman"/>
                <w:sz w:val="22"/>
                <w:szCs w:val="22"/>
              </w:rPr>
              <w:t xml:space="preserve">, wówczas służy prawo do złożenia wniosku o przywrócenie terminu. Na marginesie należy zauważyć, </w:t>
            </w:r>
            <w:r w:rsidR="00882742" w:rsidRPr="00EE1C60">
              <w:rPr>
                <w:rStyle w:val="cf01"/>
                <w:rFonts w:ascii="Times New Roman" w:hAnsi="Times New Roman" w:cs="Times New Roman"/>
                <w:sz w:val="22"/>
                <w:szCs w:val="22"/>
              </w:rPr>
              <w:t>ż</w:t>
            </w:r>
            <w:r w:rsidRPr="00EE1C60">
              <w:rPr>
                <w:rStyle w:val="cf01"/>
                <w:rFonts w:ascii="Times New Roman" w:hAnsi="Times New Roman" w:cs="Times New Roman"/>
                <w:sz w:val="22"/>
                <w:szCs w:val="22"/>
              </w:rPr>
              <w:t>e portal informacyjny obsługuje zarówno post</w:t>
            </w:r>
            <w:r w:rsidR="00247184" w:rsidRPr="00EE1C60">
              <w:rPr>
                <w:rStyle w:val="cf01"/>
                <w:rFonts w:ascii="Times New Roman" w:hAnsi="Times New Roman" w:cs="Times New Roman"/>
                <w:sz w:val="22"/>
                <w:szCs w:val="22"/>
              </w:rPr>
              <w:t>ę</w:t>
            </w:r>
            <w:r w:rsidRPr="00EE1C60">
              <w:rPr>
                <w:rStyle w:val="cf01"/>
                <w:rFonts w:ascii="Times New Roman" w:hAnsi="Times New Roman" w:cs="Times New Roman"/>
                <w:sz w:val="22"/>
                <w:szCs w:val="22"/>
              </w:rPr>
              <w:t>powanie karne</w:t>
            </w:r>
            <w:r w:rsidR="00247184" w:rsidRPr="00EE1C60">
              <w:rPr>
                <w:rStyle w:val="cf01"/>
                <w:rFonts w:ascii="Times New Roman" w:hAnsi="Times New Roman" w:cs="Times New Roman"/>
                <w:sz w:val="22"/>
                <w:szCs w:val="22"/>
              </w:rPr>
              <w:t>,</w:t>
            </w:r>
            <w:r w:rsidRPr="00EE1C60">
              <w:rPr>
                <w:rStyle w:val="cf01"/>
                <w:rFonts w:ascii="Times New Roman" w:hAnsi="Times New Roman" w:cs="Times New Roman"/>
                <w:sz w:val="22"/>
                <w:szCs w:val="22"/>
              </w:rPr>
              <w:t xml:space="preserve"> jak i cywilne. W cywilnym post</w:t>
            </w:r>
            <w:r w:rsidR="00247184" w:rsidRPr="00EE1C60">
              <w:rPr>
                <w:rStyle w:val="cf01"/>
                <w:rFonts w:ascii="Times New Roman" w:hAnsi="Times New Roman" w:cs="Times New Roman"/>
                <w:sz w:val="22"/>
                <w:szCs w:val="22"/>
              </w:rPr>
              <w:t>ę</w:t>
            </w:r>
            <w:r w:rsidRPr="00EE1C60">
              <w:rPr>
                <w:rStyle w:val="cf01"/>
                <w:rFonts w:ascii="Times New Roman" w:hAnsi="Times New Roman" w:cs="Times New Roman"/>
                <w:sz w:val="22"/>
                <w:szCs w:val="22"/>
              </w:rPr>
              <w:t>powaniu z uwagi na przewidzian</w:t>
            </w:r>
            <w:r w:rsidR="00247184" w:rsidRPr="00EE1C60">
              <w:rPr>
                <w:rStyle w:val="cf01"/>
                <w:rFonts w:ascii="Times New Roman" w:hAnsi="Times New Roman" w:cs="Times New Roman"/>
                <w:sz w:val="22"/>
                <w:szCs w:val="22"/>
              </w:rPr>
              <w:t>ą</w:t>
            </w:r>
            <w:r w:rsidRPr="00EE1C60">
              <w:rPr>
                <w:rStyle w:val="cf01"/>
                <w:rFonts w:ascii="Times New Roman" w:hAnsi="Times New Roman" w:cs="Times New Roman"/>
                <w:sz w:val="22"/>
                <w:szCs w:val="22"/>
              </w:rPr>
              <w:t xml:space="preserve"> obligatoryjność wnoszenia pism za</w:t>
            </w:r>
            <w:r w:rsidR="00882742" w:rsidRPr="00EE1C60">
              <w:rPr>
                <w:rStyle w:val="cf01"/>
                <w:rFonts w:ascii="Times New Roman" w:hAnsi="Times New Roman" w:cs="Times New Roman"/>
                <w:sz w:val="22"/>
                <w:szCs w:val="22"/>
              </w:rPr>
              <w:t xml:space="preserve"> </w:t>
            </w:r>
            <w:r w:rsidRPr="00EE1C60">
              <w:rPr>
                <w:rStyle w:val="cf01"/>
                <w:rFonts w:ascii="Times New Roman" w:hAnsi="Times New Roman" w:cs="Times New Roman"/>
                <w:sz w:val="22"/>
                <w:szCs w:val="22"/>
              </w:rPr>
              <w:t>pośrednictwem portalu przez wskazane w k.p.c. podmioty, zaistniała konieczność na stworzenie mechanizmów związanych z postępowaniem w przypadku niedostępności portalu</w:t>
            </w:r>
            <w:r w:rsidR="00247184" w:rsidRPr="00EE1C60">
              <w:rPr>
                <w:rStyle w:val="cf01"/>
                <w:rFonts w:ascii="Times New Roman" w:hAnsi="Times New Roman" w:cs="Times New Roman"/>
                <w:sz w:val="22"/>
                <w:szCs w:val="22"/>
              </w:rPr>
              <w:t xml:space="preserve"> informacyjnego</w:t>
            </w:r>
            <w:r w:rsidRPr="00EE1C60">
              <w:rPr>
                <w:rStyle w:val="cf01"/>
                <w:rFonts w:ascii="Times New Roman" w:hAnsi="Times New Roman" w:cs="Times New Roman"/>
                <w:sz w:val="22"/>
                <w:szCs w:val="22"/>
              </w:rPr>
              <w:t>.</w:t>
            </w:r>
            <w:r w:rsidR="00DC2732" w:rsidRPr="00EE1C60">
              <w:rPr>
                <w:rStyle w:val="cf01"/>
                <w:rFonts w:ascii="Times New Roman" w:hAnsi="Times New Roman" w:cs="Times New Roman"/>
                <w:sz w:val="22"/>
                <w:szCs w:val="22"/>
              </w:rPr>
              <w:t xml:space="preserve"> </w:t>
            </w:r>
          </w:p>
        </w:tc>
      </w:tr>
      <w:bookmarkEnd w:id="0"/>
    </w:tbl>
    <w:p w14:paraId="4207EFE1" w14:textId="7B264814" w:rsidR="003D611E" w:rsidRPr="00EE1C60" w:rsidRDefault="003D611E" w:rsidP="00EE1C60">
      <w:pPr>
        <w:spacing w:after="0" w:line="240" w:lineRule="auto"/>
        <w:rPr>
          <w:rFonts w:cs="Times New Roman"/>
          <w:sz w:val="22"/>
        </w:rPr>
      </w:pPr>
    </w:p>
    <w:p w14:paraId="2C0B94C5" w14:textId="44B1D8A8" w:rsidR="002F7E4B" w:rsidRPr="00EE1C60" w:rsidRDefault="002F7E4B" w:rsidP="00EE1C60">
      <w:pPr>
        <w:spacing w:after="0" w:line="240" w:lineRule="auto"/>
        <w:rPr>
          <w:rFonts w:cs="Times New Roman"/>
          <w:sz w:val="22"/>
        </w:rPr>
      </w:pPr>
    </w:p>
    <w:sectPr w:rsidR="002F7E4B" w:rsidRPr="00EE1C60" w:rsidSect="00463BE3">
      <w:footerReference w:type="default" r:id="rId8"/>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7C7F8" w14:textId="77777777" w:rsidR="00A0460F" w:rsidRDefault="00A0460F" w:rsidP="00C57AB0">
      <w:pPr>
        <w:spacing w:after="0" w:line="240" w:lineRule="auto"/>
      </w:pPr>
      <w:r>
        <w:separator/>
      </w:r>
    </w:p>
  </w:endnote>
  <w:endnote w:type="continuationSeparator" w:id="0">
    <w:p w14:paraId="0106ACDC" w14:textId="77777777" w:rsidR="00A0460F" w:rsidRDefault="00A0460F" w:rsidP="00C57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660672"/>
      <w:docPartObj>
        <w:docPartGallery w:val="Page Numbers (Bottom of Page)"/>
        <w:docPartUnique/>
      </w:docPartObj>
    </w:sdtPr>
    <w:sdtEndPr/>
    <w:sdtContent>
      <w:p w14:paraId="6824481D" w14:textId="47225BBD" w:rsidR="00C57AB0" w:rsidRDefault="00C57AB0">
        <w:pPr>
          <w:pStyle w:val="Stopka"/>
          <w:jc w:val="center"/>
        </w:pPr>
        <w:r>
          <w:fldChar w:fldCharType="begin"/>
        </w:r>
        <w:r>
          <w:instrText>PAGE   \* MERGEFORMAT</w:instrText>
        </w:r>
        <w:r>
          <w:fldChar w:fldCharType="separate"/>
        </w:r>
        <w:r>
          <w:t>2</w:t>
        </w:r>
        <w:r>
          <w:fldChar w:fldCharType="end"/>
        </w:r>
      </w:p>
    </w:sdtContent>
  </w:sdt>
  <w:p w14:paraId="51E686EB" w14:textId="77777777" w:rsidR="00C57AB0" w:rsidRDefault="00C57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8E0B8" w14:textId="77777777" w:rsidR="00A0460F" w:rsidRDefault="00A0460F" w:rsidP="00C57AB0">
      <w:pPr>
        <w:spacing w:after="0" w:line="240" w:lineRule="auto"/>
      </w:pPr>
      <w:r>
        <w:separator/>
      </w:r>
    </w:p>
  </w:footnote>
  <w:footnote w:type="continuationSeparator" w:id="0">
    <w:p w14:paraId="0733E30A" w14:textId="77777777" w:rsidR="00A0460F" w:rsidRDefault="00A0460F" w:rsidP="00C57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E571E"/>
    <w:multiLevelType w:val="hybridMultilevel"/>
    <w:tmpl w:val="316E8EB6"/>
    <w:lvl w:ilvl="0" w:tplc="5A26C368">
      <w:start w:val="1"/>
      <w:numFmt w:val="decimal"/>
      <w:lvlText w:val="%1)"/>
      <w:lvlJc w:val="left"/>
      <w:pPr>
        <w:ind w:left="720" w:hanging="360"/>
      </w:pPr>
      <w:rPr>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E0D06A1"/>
    <w:multiLevelType w:val="hybridMultilevel"/>
    <w:tmpl w:val="9852FBC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6C4A21E8"/>
    <w:multiLevelType w:val="hybridMultilevel"/>
    <w:tmpl w:val="103AB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9106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4359942">
    <w:abstractNumId w:val="1"/>
  </w:num>
  <w:num w:numId="3" w16cid:durableId="273440971">
    <w:abstractNumId w:val="0"/>
  </w:num>
  <w:num w:numId="4" w16cid:durableId="946889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13EF0"/>
    <w:rsid w:val="00030EE1"/>
    <w:rsid w:val="00030FED"/>
    <w:rsid w:val="00034F10"/>
    <w:rsid w:val="0004003F"/>
    <w:rsid w:val="000435FB"/>
    <w:rsid w:val="00044083"/>
    <w:rsid w:val="0005541B"/>
    <w:rsid w:val="000639B7"/>
    <w:rsid w:val="00083E6B"/>
    <w:rsid w:val="000A54B3"/>
    <w:rsid w:val="000A6802"/>
    <w:rsid w:val="000B3E78"/>
    <w:rsid w:val="000B4394"/>
    <w:rsid w:val="000B44A5"/>
    <w:rsid w:val="000C1516"/>
    <w:rsid w:val="000C5BA7"/>
    <w:rsid w:val="000D09CA"/>
    <w:rsid w:val="000E2F7F"/>
    <w:rsid w:val="000E5E20"/>
    <w:rsid w:val="000E7254"/>
    <w:rsid w:val="000F162C"/>
    <w:rsid w:val="000F6823"/>
    <w:rsid w:val="000F7C31"/>
    <w:rsid w:val="0010039E"/>
    <w:rsid w:val="00110FBE"/>
    <w:rsid w:val="001140BB"/>
    <w:rsid w:val="001174FF"/>
    <w:rsid w:val="00123A1D"/>
    <w:rsid w:val="00123F5D"/>
    <w:rsid w:val="0013137A"/>
    <w:rsid w:val="00142A32"/>
    <w:rsid w:val="001561D9"/>
    <w:rsid w:val="001620CF"/>
    <w:rsid w:val="00162230"/>
    <w:rsid w:val="001721F2"/>
    <w:rsid w:val="00172B2B"/>
    <w:rsid w:val="00184243"/>
    <w:rsid w:val="00184BD3"/>
    <w:rsid w:val="001B141F"/>
    <w:rsid w:val="001B5D35"/>
    <w:rsid w:val="001C79B2"/>
    <w:rsid w:val="001D0A7C"/>
    <w:rsid w:val="001D2343"/>
    <w:rsid w:val="001D70A8"/>
    <w:rsid w:val="001D7CA8"/>
    <w:rsid w:val="001E4DA2"/>
    <w:rsid w:val="001E5209"/>
    <w:rsid w:val="001E7E9B"/>
    <w:rsid w:val="001F3DF9"/>
    <w:rsid w:val="00201A4D"/>
    <w:rsid w:val="002062E2"/>
    <w:rsid w:val="00214A8C"/>
    <w:rsid w:val="00236701"/>
    <w:rsid w:val="00243FC4"/>
    <w:rsid w:val="00247184"/>
    <w:rsid w:val="00254EA8"/>
    <w:rsid w:val="002551A7"/>
    <w:rsid w:val="002702B7"/>
    <w:rsid w:val="00283F22"/>
    <w:rsid w:val="0028613D"/>
    <w:rsid w:val="002A0C4D"/>
    <w:rsid w:val="002A1A97"/>
    <w:rsid w:val="002A7D00"/>
    <w:rsid w:val="002B284E"/>
    <w:rsid w:val="002B34AE"/>
    <w:rsid w:val="002B3953"/>
    <w:rsid w:val="002C1EEB"/>
    <w:rsid w:val="002C5C24"/>
    <w:rsid w:val="002D1950"/>
    <w:rsid w:val="002D22A2"/>
    <w:rsid w:val="002D7FE1"/>
    <w:rsid w:val="002E0BC6"/>
    <w:rsid w:val="002E5408"/>
    <w:rsid w:val="002E5D52"/>
    <w:rsid w:val="002F09A4"/>
    <w:rsid w:val="002F7E4B"/>
    <w:rsid w:val="00303C4F"/>
    <w:rsid w:val="00303FB1"/>
    <w:rsid w:val="00312AB5"/>
    <w:rsid w:val="00315A09"/>
    <w:rsid w:val="00316B54"/>
    <w:rsid w:val="00322C71"/>
    <w:rsid w:val="0033450F"/>
    <w:rsid w:val="00383674"/>
    <w:rsid w:val="003A5BB0"/>
    <w:rsid w:val="003A6B05"/>
    <w:rsid w:val="003B1C38"/>
    <w:rsid w:val="003B23FA"/>
    <w:rsid w:val="003D0EE0"/>
    <w:rsid w:val="003D138E"/>
    <w:rsid w:val="003D1ECC"/>
    <w:rsid w:val="003D3FFB"/>
    <w:rsid w:val="003D4A50"/>
    <w:rsid w:val="003D611E"/>
    <w:rsid w:val="003D6133"/>
    <w:rsid w:val="003D72FE"/>
    <w:rsid w:val="003E2AD5"/>
    <w:rsid w:val="003E58B6"/>
    <w:rsid w:val="003F3852"/>
    <w:rsid w:val="00405A5D"/>
    <w:rsid w:val="00415CD9"/>
    <w:rsid w:val="00416510"/>
    <w:rsid w:val="00416EAA"/>
    <w:rsid w:val="004230D8"/>
    <w:rsid w:val="00434AB2"/>
    <w:rsid w:val="00445E45"/>
    <w:rsid w:val="00460B16"/>
    <w:rsid w:val="00463BE3"/>
    <w:rsid w:val="00465149"/>
    <w:rsid w:val="00473B8D"/>
    <w:rsid w:val="00482379"/>
    <w:rsid w:val="00486B3C"/>
    <w:rsid w:val="00490605"/>
    <w:rsid w:val="0049699F"/>
    <w:rsid w:val="004C3A22"/>
    <w:rsid w:val="004D18F2"/>
    <w:rsid w:val="004D764D"/>
    <w:rsid w:val="004E296E"/>
    <w:rsid w:val="005040B7"/>
    <w:rsid w:val="0050635C"/>
    <w:rsid w:val="005074F6"/>
    <w:rsid w:val="005178F6"/>
    <w:rsid w:val="00517C65"/>
    <w:rsid w:val="00520EBD"/>
    <w:rsid w:val="00534571"/>
    <w:rsid w:val="00537021"/>
    <w:rsid w:val="005428D9"/>
    <w:rsid w:val="00542990"/>
    <w:rsid w:val="00543EF6"/>
    <w:rsid w:val="00555D8E"/>
    <w:rsid w:val="0055737F"/>
    <w:rsid w:val="00560BD1"/>
    <w:rsid w:val="00561243"/>
    <w:rsid w:val="00566E22"/>
    <w:rsid w:val="005718EA"/>
    <w:rsid w:val="00583572"/>
    <w:rsid w:val="005A43E9"/>
    <w:rsid w:val="005A4F14"/>
    <w:rsid w:val="005B1B5B"/>
    <w:rsid w:val="005B285B"/>
    <w:rsid w:val="005C2B12"/>
    <w:rsid w:val="005C6E1E"/>
    <w:rsid w:val="005D4E03"/>
    <w:rsid w:val="005D7320"/>
    <w:rsid w:val="005E04CC"/>
    <w:rsid w:val="005E279B"/>
    <w:rsid w:val="005F64FE"/>
    <w:rsid w:val="005F71C1"/>
    <w:rsid w:val="005F7B97"/>
    <w:rsid w:val="00605483"/>
    <w:rsid w:val="0061513B"/>
    <w:rsid w:val="0063541E"/>
    <w:rsid w:val="006516A0"/>
    <w:rsid w:val="006545E2"/>
    <w:rsid w:val="00660F44"/>
    <w:rsid w:val="00667ABC"/>
    <w:rsid w:val="00670B6A"/>
    <w:rsid w:val="00672E69"/>
    <w:rsid w:val="006848AC"/>
    <w:rsid w:val="00692469"/>
    <w:rsid w:val="00692E69"/>
    <w:rsid w:val="006B5B13"/>
    <w:rsid w:val="006B5E2F"/>
    <w:rsid w:val="006C2310"/>
    <w:rsid w:val="006E2F61"/>
    <w:rsid w:val="006E5FC0"/>
    <w:rsid w:val="006F253F"/>
    <w:rsid w:val="006F3DBE"/>
    <w:rsid w:val="006F5FC8"/>
    <w:rsid w:val="00700D15"/>
    <w:rsid w:val="00700D1F"/>
    <w:rsid w:val="00710030"/>
    <w:rsid w:val="007116C2"/>
    <w:rsid w:val="00711745"/>
    <w:rsid w:val="00724375"/>
    <w:rsid w:val="00725850"/>
    <w:rsid w:val="00736E9A"/>
    <w:rsid w:val="00741D8D"/>
    <w:rsid w:val="00743160"/>
    <w:rsid w:val="00743493"/>
    <w:rsid w:val="0074415F"/>
    <w:rsid w:val="007514FA"/>
    <w:rsid w:val="00755C7F"/>
    <w:rsid w:val="00792A8E"/>
    <w:rsid w:val="007A39B2"/>
    <w:rsid w:val="007A4B5F"/>
    <w:rsid w:val="007B7DEC"/>
    <w:rsid w:val="007C69B9"/>
    <w:rsid w:val="007C7728"/>
    <w:rsid w:val="007D5FB0"/>
    <w:rsid w:val="007D7353"/>
    <w:rsid w:val="007E4B02"/>
    <w:rsid w:val="007E560F"/>
    <w:rsid w:val="007F33FA"/>
    <w:rsid w:val="007F66D7"/>
    <w:rsid w:val="00803BE0"/>
    <w:rsid w:val="00803CF8"/>
    <w:rsid w:val="00813ECF"/>
    <w:rsid w:val="008244FF"/>
    <w:rsid w:val="00826F51"/>
    <w:rsid w:val="00831AFB"/>
    <w:rsid w:val="00844D68"/>
    <w:rsid w:val="00847E56"/>
    <w:rsid w:val="008510BC"/>
    <w:rsid w:val="0085224B"/>
    <w:rsid w:val="00861C0E"/>
    <w:rsid w:val="00865F09"/>
    <w:rsid w:val="00866386"/>
    <w:rsid w:val="00870489"/>
    <w:rsid w:val="008707D8"/>
    <w:rsid w:val="00874170"/>
    <w:rsid w:val="00875303"/>
    <w:rsid w:val="00882742"/>
    <w:rsid w:val="0088680A"/>
    <w:rsid w:val="00896474"/>
    <w:rsid w:val="008A16DE"/>
    <w:rsid w:val="008A6070"/>
    <w:rsid w:val="008B3A47"/>
    <w:rsid w:val="008C52F6"/>
    <w:rsid w:val="008C5479"/>
    <w:rsid w:val="008D26D5"/>
    <w:rsid w:val="008D4C70"/>
    <w:rsid w:val="008F2D38"/>
    <w:rsid w:val="008F5334"/>
    <w:rsid w:val="009031C3"/>
    <w:rsid w:val="009125DC"/>
    <w:rsid w:val="009146B7"/>
    <w:rsid w:val="0092155F"/>
    <w:rsid w:val="00931844"/>
    <w:rsid w:val="00934975"/>
    <w:rsid w:val="009432EF"/>
    <w:rsid w:val="00944781"/>
    <w:rsid w:val="009467A3"/>
    <w:rsid w:val="00950E3B"/>
    <w:rsid w:val="00965F9C"/>
    <w:rsid w:val="009715EB"/>
    <w:rsid w:val="00971AC5"/>
    <w:rsid w:val="00986C32"/>
    <w:rsid w:val="00995428"/>
    <w:rsid w:val="009A0263"/>
    <w:rsid w:val="009B59FB"/>
    <w:rsid w:val="009B601C"/>
    <w:rsid w:val="009B6766"/>
    <w:rsid w:val="009D36DD"/>
    <w:rsid w:val="009D4AC3"/>
    <w:rsid w:val="009D4CE2"/>
    <w:rsid w:val="009F4C71"/>
    <w:rsid w:val="00A01459"/>
    <w:rsid w:val="00A0460F"/>
    <w:rsid w:val="00A10E90"/>
    <w:rsid w:val="00A12AF9"/>
    <w:rsid w:val="00A17B3B"/>
    <w:rsid w:val="00A3692D"/>
    <w:rsid w:val="00A50EB3"/>
    <w:rsid w:val="00A54B0D"/>
    <w:rsid w:val="00A568BD"/>
    <w:rsid w:val="00A57199"/>
    <w:rsid w:val="00A77E6F"/>
    <w:rsid w:val="00A80327"/>
    <w:rsid w:val="00A82470"/>
    <w:rsid w:val="00A86AB3"/>
    <w:rsid w:val="00A91016"/>
    <w:rsid w:val="00AA4C79"/>
    <w:rsid w:val="00AB7CFD"/>
    <w:rsid w:val="00AF0F0B"/>
    <w:rsid w:val="00AF19DC"/>
    <w:rsid w:val="00AF1C6D"/>
    <w:rsid w:val="00AF26D3"/>
    <w:rsid w:val="00B0115F"/>
    <w:rsid w:val="00B04190"/>
    <w:rsid w:val="00B15A83"/>
    <w:rsid w:val="00B15C36"/>
    <w:rsid w:val="00B16660"/>
    <w:rsid w:val="00B22B4A"/>
    <w:rsid w:val="00B23A61"/>
    <w:rsid w:val="00B310C8"/>
    <w:rsid w:val="00B32368"/>
    <w:rsid w:val="00B323A7"/>
    <w:rsid w:val="00B33E51"/>
    <w:rsid w:val="00B41526"/>
    <w:rsid w:val="00B42143"/>
    <w:rsid w:val="00B43CAC"/>
    <w:rsid w:val="00B45C43"/>
    <w:rsid w:val="00B47A77"/>
    <w:rsid w:val="00B50FF5"/>
    <w:rsid w:val="00B609F3"/>
    <w:rsid w:val="00B62148"/>
    <w:rsid w:val="00B74F3E"/>
    <w:rsid w:val="00B848BD"/>
    <w:rsid w:val="00B849F6"/>
    <w:rsid w:val="00B94829"/>
    <w:rsid w:val="00B94C86"/>
    <w:rsid w:val="00B96516"/>
    <w:rsid w:val="00BA6A16"/>
    <w:rsid w:val="00BB2EF3"/>
    <w:rsid w:val="00BB355C"/>
    <w:rsid w:val="00BC403D"/>
    <w:rsid w:val="00BD6EFF"/>
    <w:rsid w:val="00BD7DC5"/>
    <w:rsid w:val="00BE0FF2"/>
    <w:rsid w:val="00C020A0"/>
    <w:rsid w:val="00C060D2"/>
    <w:rsid w:val="00C12F2A"/>
    <w:rsid w:val="00C2090C"/>
    <w:rsid w:val="00C24401"/>
    <w:rsid w:val="00C2618F"/>
    <w:rsid w:val="00C27568"/>
    <w:rsid w:val="00C31542"/>
    <w:rsid w:val="00C318DF"/>
    <w:rsid w:val="00C31B9A"/>
    <w:rsid w:val="00C364A6"/>
    <w:rsid w:val="00C45BAF"/>
    <w:rsid w:val="00C46E4F"/>
    <w:rsid w:val="00C50987"/>
    <w:rsid w:val="00C5366E"/>
    <w:rsid w:val="00C57AB0"/>
    <w:rsid w:val="00C669E1"/>
    <w:rsid w:val="00C66A08"/>
    <w:rsid w:val="00C8022F"/>
    <w:rsid w:val="00C8146D"/>
    <w:rsid w:val="00C8298F"/>
    <w:rsid w:val="00C9251D"/>
    <w:rsid w:val="00C94063"/>
    <w:rsid w:val="00C9552F"/>
    <w:rsid w:val="00CA3B4F"/>
    <w:rsid w:val="00CA47F5"/>
    <w:rsid w:val="00CA749A"/>
    <w:rsid w:val="00CB5ED9"/>
    <w:rsid w:val="00CD691E"/>
    <w:rsid w:val="00CE4D74"/>
    <w:rsid w:val="00CE6F19"/>
    <w:rsid w:val="00CF7263"/>
    <w:rsid w:val="00D025CB"/>
    <w:rsid w:val="00D11B80"/>
    <w:rsid w:val="00D14F03"/>
    <w:rsid w:val="00D15291"/>
    <w:rsid w:val="00D225A5"/>
    <w:rsid w:val="00D24BF2"/>
    <w:rsid w:val="00D25ABC"/>
    <w:rsid w:val="00D34281"/>
    <w:rsid w:val="00D404FA"/>
    <w:rsid w:val="00D477ED"/>
    <w:rsid w:val="00D67E6D"/>
    <w:rsid w:val="00D713DF"/>
    <w:rsid w:val="00D75740"/>
    <w:rsid w:val="00D842C3"/>
    <w:rsid w:val="00D8694A"/>
    <w:rsid w:val="00D95734"/>
    <w:rsid w:val="00D96EF1"/>
    <w:rsid w:val="00DA161A"/>
    <w:rsid w:val="00DC0F12"/>
    <w:rsid w:val="00DC2732"/>
    <w:rsid w:val="00DC4864"/>
    <w:rsid w:val="00DC5203"/>
    <w:rsid w:val="00DE3418"/>
    <w:rsid w:val="00DF1278"/>
    <w:rsid w:val="00E02A48"/>
    <w:rsid w:val="00E10717"/>
    <w:rsid w:val="00E21D01"/>
    <w:rsid w:val="00E43560"/>
    <w:rsid w:val="00E53684"/>
    <w:rsid w:val="00E540EF"/>
    <w:rsid w:val="00E67133"/>
    <w:rsid w:val="00E67EF7"/>
    <w:rsid w:val="00E72E0D"/>
    <w:rsid w:val="00E800A5"/>
    <w:rsid w:val="00E83D4C"/>
    <w:rsid w:val="00E85CF3"/>
    <w:rsid w:val="00E944C0"/>
    <w:rsid w:val="00E97822"/>
    <w:rsid w:val="00EA075A"/>
    <w:rsid w:val="00EA666B"/>
    <w:rsid w:val="00EB5667"/>
    <w:rsid w:val="00EC0DC3"/>
    <w:rsid w:val="00EC1FF8"/>
    <w:rsid w:val="00ED6EE3"/>
    <w:rsid w:val="00EE1C60"/>
    <w:rsid w:val="00EE2DD3"/>
    <w:rsid w:val="00EF146E"/>
    <w:rsid w:val="00EF155B"/>
    <w:rsid w:val="00EF7791"/>
    <w:rsid w:val="00F01B47"/>
    <w:rsid w:val="00F02CB2"/>
    <w:rsid w:val="00F05420"/>
    <w:rsid w:val="00F06057"/>
    <w:rsid w:val="00F2535E"/>
    <w:rsid w:val="00F273CC"/>
    <w:rsid w:val="00F317A5"/>
    <w:rsid w:val="00F37A15"/>
    <w:rsid w:val="00F46BCC"/>
    <w:rsid w:val="00F4715E"/>
    <w:rsid w:val="00F47993"/>
    <w:rsid w:val="00F47B28"/>
    <w:rsid w:val="00F47F9B"/>
    <w:rsid w:val="00F53925"/>
    <w:rsid w:val="00F56E87"/>
    <w:rsid w:val="00F638BA"/>
    <w:rsid w:val="00F648EC"/>
    <w:rsid w:val="00F70873"/>
    <w:rsid w:val="00F71C98"/>
    <w:rsid w:val="00F74618"/>
    <w:rsid w:val="00F81B54"/>
    <w:rsid w:val="00F85803"/>
    <w:rsid w:val="00FB6BC1"/>
    <w:rsid w:val="00FC0031"/>
    <w:rsid w:val="00FC5AE6"/>
    <w:rsid w:val="00FD2A59"/>
    <w:rsid w:val="00FE173E"/>
    <w:rsid w:val="00FF0B6B"/>
    <w:rsid w:val="00FF42C4"/>
    <w:rsid w:val="00FF45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unhideWhenUsed/>
    <w:rsid w:val="004230D8"/>
    <w:pPr>
      <w:spacing w:before="100" w:beforeAutospacing="1" w:after="100" w:afterAutospacing="1" w:line="240" w:lineRule="auto"/>
    </w:pPr>
    <w:rPr>
      <w:rFonts w:eastAsia="Times New Roman" w:cs="Times New Roman"/>
      <w:szCs w:val="24"/>
      <w:lang w:eastAsia="pl-PL"/>
    </w:rPr>
  </w:style>
  <w:style w:type="paragraph" w:styleId="Tekstpodstawowy">
    <w:name w:val="Body Text"/>
    <w:basedOn w:val="Normalny"/>
    <w:link w:val="TekstpodstawowyZnak"/>
    <w:semiHidden/>
    <w:unhideWhenUsed/>
    <w:rsid w:val="00283F22"/>
    <w:pPr>
      <w:spacing w:after="0" w:line="240" w:lineRule="auto"/>
      <w:jc w:val="both"/>
    </w:pPr>
    <w:rPr>
      <w:rFonts w:eastAsia="Times New Roman" w:cs="Times New Roman"/>
      <w:color w:val="000000"/>
      <w:szCs w:val="20"/>
      <w:lang w:eastAsia="pl-PL"/>
    </w:rPr>
  </w:style>
  <w:style w:type="character" w:customStyle="1" w:styleId="TekstpodstawowyZnak">
    <w:name w:val="Tekst podstawowy Znak"/>
    <w:basedOn w:val="Domylnaczcionkaakapitu"/>
    <w:link w:val="Tekstpodstawowy"/>
    <w:rsid w:val="00283F22"/>
    <w:rPr>
      <w:rFonts w:ascii="Times New Roman" w:eastAsia="Times New Roman" w:hAnsi="Times New Roman" w:cs="Times New Roman"/>
      <w:color w:val="000000"/>
      <w:sz w:val="24"/>
      <w:szCs w:val="20"/>
      <w:lang w:eastAsia="pl-PL"/>
    </w:rPr>
  </w:style>
  <w:style w:type="character" w:styleId="Hipercze">
    <w:name w:val="Hyperlink"/>
    <w:basedOn w:val="Domylnaczcionkaakapitu"/>
    <w:uiPriority w:val="99"/>
    <w:unhideWhenUsed/>
    <w:rsid w:val="002D1950"/>
    <w:rPr>
      <w:color w:val="0563C1" w:themeColor="hyperlink"/>
      <w:u w:val="single"/>
    </w:rPr>
  </w:style>
  <w:style w:type="character" w:styleId="Nierozpoznanawzmianka">
    <w:name w:val="Unresolved Mention"/>
    <w:basedOn w:val="Domylnaczcionkaakapitu"/>
    <w:uiPriority w:val="99"/>
    <w:semiHidden/>
    <w:unhideWhenUsed/>
    <w:rsid w:val="002D1950"/>
    <w:rPr>
      <w:color w:val="605E5C"/>
      <w:shd w:val="clear" w:color="auto" w:fill="E1DFDD"/>
    </w:rPr>
  </w:style>
  <w:style w:type="paragraph" w:styleId="Nagwek">
    <w:name w:val="header"/>
    <w:basedOn w:val="Normalny"/>
    <w:link w:val="NagwekZnak"/>
    <w:uiPriority w:val="99"/>
    <w:unhideWhenUsed/>
    <w:rsid w:val="00C57A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AB0"/>
    <w:rPr>
      <w:rFonts w:ascii="Times New Roman" w:hAnsi="Times New Roman"/>
      <w:sz w:val="24"/>
    </w:rPr>
  </w:style>
  <w:style w:type="paragraph" w:styleId="Stopka">
    <w:name w:val="footer"/>
    <w:basedOn w:val="Normalny"/>
    <w:link w:val="StopkaZnak"/>
    <w:uiPriority w:val="99"/>
    <w:unhideWhenUsed/>
    <w:rsid w:val="00C57A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B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2325">
      <w:bodyDiv w:val="1"/>
      <w:marLeft w:val="0"/>
      <w:marRight w:val="0"/>
      <w:marTop w:val="0"/>
      <w:marBottom w:val="0"/>
      <w:divBdr>
        <w:top w:val="none" w:sz="0" w:space="0" w:color="auto"/>
        <w:left w:val="none" w:sz="0" w:space="0" w:color="auto"/>
        <w:bottom w:val="none" w:sz="0" w:space="0" w:color="auto"/>
        <w:right w:val="none" w:sz="0" w:space="0" w:color="auto"/>
      </w:divBdr>
      <w:divsChild>
        <w:div w:id="2124960130">
          <w:marLeft w:val="0"/>
          <w:marRight w:val="0"/>
          <w:marTop w:val="150"/>
          <w:marBottom w:val="168"/>
          <w:divBdr>
            <w:top w:val="none" w:sz="0" w:space="0" w:color="auto"/>
            <w:left w:val="none" w:sz="0" w:space="0" w:color="auto"/>
            <w:bottom w:val="none" w:sz="0" w:space="0" w:color="auto"/>
            <w:right w:val="none" w:sz="0" w:space="0" w:color="auto"/>
          </w:divBdr>
        </w:div>
        <w:div w:id="578752416">
          <w:marLeft w:val="0"/>
          <w:marRight w:val="0"/>
          <w:marTop w:val="0"/>
          <w:marBottom w:val="0"/>
          <w:divBdr>
            <w:top w:val="none" w:sz="0" w:space="0" w:color="auto"/>
            <w:left w:val="none" w:sz="0" w:space="0" w:color="auto"/>
            <w:bottom w:val="none" w:sz="0" w:space="0" w:color="auto"/>
            <w:right w:val="none" w:sz="0" w:space="0" w:color="auto"/>
          </w:divBdr>
          <w:divsChild>
            <w:div w:id="2693577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2080124">
      <w:bodyDiv w:val="1"/>
      <w:marLeft w:val="0"/>
      <w:marRight w:val="0"/>
      <w:marTop w:val="0"/>
      <w:marBottom w:val="0"/>
      <w:divBdr>
        <w:top w:val="none" w:sz="0" w:space="0" w:color="auto"/>
        <w:left w:val="none" w:sz="0" w:space="0" w:color="auto"/>
        <w:bottom w:val="none" w:sz="0" w:space="0" w:color="auto"/>
        <w:right w:val="none" w:sz="0" w:space="0" w:color="auto"/>
      </w:divBdr>
    </w:div>
    <w:div w:id="540476403">
      <w:bodyDiv w:val="1"/>
      <w:marLeft w:val="0"/>
      <w:marRight w:val="0"/>
      <w:marTop w:val="0"/>
      <w:marBottom w:val="0"/>
      <w:divBdr>
        <w:top w:val="none" w:sz="0" w:space="0" w:color="auto"/>
        <w:left w:val="none" w:sz="0" w:space="0" w:color="auto"/>
        <w:bottom w:val="none" w:sz="0" w:space="0" w:color="auto"/>
        <w:right w:val="none" w:sz="0" w:space="0" w:color="auto"/>
      </w:divBdr>
    </w:div>
    <w:div w:id="613706153">
      <w:bodyDiv w:val="1"/>
      <w:marLeft w:val="0"/>
      <w:marRight w:val="0"/>
      <w:marTop w:val="0"/>
      <w:marBottom w:val="0"/>
      <w:divBdr>
        <w:top w:val="none" w:sz="0" w:space="0" w:color="auto"/>
        <w:left w:val="none" w:sz="0" w:space="0" w:color="auto"/>
        <w:bottom w:val="none" w:sz="0" w:space="0" w:color="auto"/>
        <w:right w:val="none" w:sz="0" w:space="0" w:color="auto"/>
      </w:divBdr>
    </w:div>
    <w:div w:id="704909050">
      <w:bodyDiv w:val="1"/>
      <w:marLeft w:val="0"/>
      <w:marRight w:val="0"/>
      <w:marTop w:val="0"/>
      <w:marBottom w:val="0"/>
      <w:divBdr>
        <w:top w:val="none" w:sz="0" w:space="0" w:color="auto"/>
        <w:left w:val="none" w:sz="0" w:space="0" w:color="auto"/>
        <w:bottom w:val="none" w:sz="0" w:space="0" w:color="auto"/>
        <w:right w:val="none" w:sz="0" w:space="0" w:color="auto"/>
      </w:divBdr>
    </w:div>
    <w:div w:id="816382270">
      <w:bodyDiv w:val="1"/>
      <w:marLeft w:val="0"/>
      <w:marRight w:val="0"/>
      <w:marTop w:val="0"/>
      <w:marBottom w:val="0"/>
      <w:divBdr>
        <w:top w:val="none" w:sz="0" w:space="0" w:color="auto"/>
        <w:left w:val="none" w:sz="0" w:space="0" w:color="auto"/>
        <w:bottom w:val="none" w:sz="0" w:space="0" w:color="auto"/>
        <w:right w:val="none" w:sz="0" w:space="0" w:color="auto"/>
      </w:divBdr>
    </w:div>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088815756">
      <w:bodyDiv w:val="1"/>
      <w:marLeft w:val="0"/>
      <w:marRight w:val="0"/>
      <w:marTop w:val="0"/>
      <w:marBottom w:val="0"/>
      <w:divBdr>
        <w:top w:val="none" w:sz="0" w:space="0" w:color="auto"/>
        <w:left w:val="none" w:sz="0" w:space="0" w:color="auto"/>
        <w:bottom w:val="none" w:sz="0" w:space="0" w:color="auto"/>
        <w:right w:val="none" w:sz="0" w:space="0" w:color="auto"/>
      </w:divBdr>
    </w:div>
    <w:div w:id="1115638791">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769155198">
      <w:bodyDiv w:val="1"/>
      <w:marLeft w:val="0"/>
      <w:marRight w:val="0"/>
      <w:marTop w:val="0"/>
      <w:marBottom w:val="0"/>
      <w:divBdr>
        <w:top w:val="none" w:sz="0" w:space="0" w:color="auto"/>
        <w:left w:val="none" w:sz="0" w:space="0" w:color="auto"/>
        <w:bottom w:val="none" w:sz="0" w:space="0" w:color="auto"/>
        <w:right w:val="none" w:sz="0" w:space="0" w:color="auto"/>
      </w:divBdr>
    </w:div>
    <w:div w:id="1912504201">
      <w:bodyDiv w:val="1"/>
      <w:marLeft w:val="0"/>
      <w:marRight w:val="0"/>
      <w:marTop w:val="0"/>
      <w:marBottom w:val="0"/>
      <w:divBdr>
        <w:top w:val="none" w:sz="0" w:space="0" w:color="auto"/>
        <w:left w:val="none" w:sz="0" w:space="0" w:color="auto"/>
        <w:bottom w:val="none" w:sz="0" w:space="0" w:color="auto"/>
        <w:right w:val="none" w:sz="0" w:space="0" w:color="auto"/>
      </w:divBdr>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 w:id="2004043576">
      <w:bodyDiv w:val="1"/>
      <w:marLeft w:val="0"/>
      <w:marRight w:val="0"/>
      <w:marTop w:val="0"/>
      <w:marBottom w:val="0"/>
      <w:divBdr>
        <w:top w:val="none" w:sz="0" w:space="0" w:color="auto"/>
        <w:left w:val="none" w:sz="0" w:space="0" w:color="auto"/>
        <w:bottom w:val="none" w:sz="0" w:space="0" w:color="auto"/>
        <w:right w:val="none" w:sz="0" w:space="0" w:color="auto"/>
      </w:divBdr>
    </w:div>
    <w:div w:id="2074036261">
      <w:bodyDiv w:val="1"/>
      <w:marLeft w:val="0"/>
      <w:marRight w:val="0"/>
      <w:marTop w:val="0"/>
      <w:marBottom w:val="0"/>
      <w:divBdr>
        <w:top w:val="none" w:sz="0" w:space="0" w:color="auto"/>
        <w:left w:val="none" w:sz="0" w:space="0" w:color="auto"/>
        <w:bottom w:val="none" w:sz="0" w:space="0" w:color="auto"/>
        <w:right w:val="none" w:sz="0" w:space="0" w:color="auto"/>
      </w:divBdr>
    </w:div>
    <w:div w:id="2079211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3291</Words>
  <Characters>19750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Duma Joanna</cp:lastModifiedBy>
  <cp:revision>2</cp:revision>
  <cp:lastPrinted>2024-01-24T15:46:00Z</cp:lastPrinted>
  <dcterms:created xsi:type="dcterms:W3CDTF">2026-01-23T08:43:00Z</dcterms:created>
  <dcterms:modified xsi:type="dcterms:W3CDTF">2026-01-23T08:43:00Z</dcterms:modified>
</cp:coreProperties>
</file>